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富荣基金</w:t>
      </w:r>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2A9E0AEA"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E1201F">
        <w:rPr>
          <w:rFonts w:ascii="楷体" w:eastAsia="楷体" w:hAnsi="楷体" w:hint="eastAsia"/>
          <w:sz w:val="28"/>
          <w:szCs w:val="28"/>
        </w:rPr>
        <w:t>月末资金大幅收紧</w:t>
      </w:r>
      <w:r w:rsidR="00705D32">
        <w:rPr>
          <w:rFonts w:ascii="楷体" w:eastAsia="楷体" w:hAnsi="楷体" w:hint="eastAsia"/>
          <w:sz w:val="28"/>
          <w:szCs w:val="28"/>
        </w:rPr>
        <w:t>，</w:t>
      </w:r>
      <w:r w:rsidR="00E1201F">
        <w:rPr>
          <w:rFonts w:ascii="楷体" w:eastAsia="楷体" w:hAnsi="楷体" w:hint="eastAsia"/>
          <w:sz w:val="28"/>
          <w:szCs w:val="28"/>
        </w:rPr>
        <w:t>高流动性品种承压</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6DA527AB" w14:textId="77777777" w:rsidR="00335516" w:rsidRDefault="00705D32" w:rsidP="00A41BA7">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近期</w:t>
      </w:r>
      <w:r w:rsidR="00525B9E">
        <w:rPr>
          <w:rFonts w:ascii="华文楷体" w:hAnsi="华文楷体" w:hint="eastAsia"/>
          <w:b w:val="0"/>
          <w:bCs/>
          <w:smallCaps w:val="0"/>
          <w:color w:val="auto"/>
          <w:sz w:val="24"/>
          <w:szCs w:val="24"/>
        </w:rPr>
        <w:t>公布</w:t>
      </w:r>
      <w:r w:rsidR="00335516" w:rsidRPr="00335516">
        <w:rPr>
          <w:rFonts w:ascii="华文楷体" w:hAnsi="华文楷体" w:hint="eastAsia"/>
          <w:b w:val="0"/>
          <w:bCs/>
          <w:smallCaps w:val="0"/>
          <w:color w:val="auto"/>
          <w:sz w:val="24"/>
          <w:szCs w:val="24"/>
        </w:rPr>
        <w:t>1月中国官方制造业PMI51.3%，较2020年12月的51.9%略有回落，符合市场预期；官方非制造业PMI为52.4%，比12月回落3.3个百分点；综合PMI产出指数为52.8%，比12月低2.3个百分点。</w:t>
      </w:r>
    </w:p>
    <w:p w14:paraId="6F573031" w14:textId="62723C45" w:rsidR="00A41BA7" w:rsidRDefault="00335516" w:rsidP="00A41BA7">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具体分项来看，</w:t>
      </w:r>
      <w:r w:rsidRPr="00335516">
        <w:rPr>
          <w:rFonts w:ascii="华文楷体" w:hAnsi="华文楷体" w:hint="eastAsia"/>
          <w:b w:val="0"/>
          <w:bCs/>
          <w:smallCaps w:val="0"/>
          <w:color w:val="auto"/>
          <w:sz w:val="24"/>
          <w:szCs w:val="24"/>
        </w:rPr>
        <w:t>制造业和非制造业PMI均有所回落，主要</w:t>
      </w:r>
      <w:r w:rsidR="00BC7306">
        <w:rPr>
          <w:rFonts w:ascii="华文楷体" w:hAnsi="华文楷体" w:hint="eastAsia"/>
          <w:b w:val="0"/>
          <w:bCs/>
          <w:smallCaps w:val="0"/>
          <w:color w:val="auto"/>
          <w:sz w:val="24"/>
          <w:szCs w:val="24"/>
        </w:rPr>
        <w:t>受</w:t>
      </w:r>
      <w:r w:rsidRPr="00335516">
        <w:rPr>
          <w:rFonts w:ascii="华文楷体" w:hAnsi="华文楷体" w:hint="eastAsia"/>
          <w:b w:val="0"/>
          <w:bCs/>
          <w:smallCaps w:val="0"/>
          <w:color w:val="auto"/>
          <w:sz w:val="24"/>
          <w:szCs w:val="24"/>
        </w:rPr>
        <w:t>疫情和季节性影响</w:t>
      </w:r>
      <w:r w:rsidR="00A41BA7">
        <w:rPr>
          <w:rFonts w:ascii="华文楷体" w:hAnsi="华文楷体" w:hint="eastAsia"/>
          <w:b w:val="0"/>
          <w:bCs/>
          <w:smallCaps w:val="0"/>
          <w:color w:val="auto"/>
          <w:sz w:val="24"/>
          <w:szCs w:val="24"/>
        </w:rPr>
        <w:t>。</w:t>
      </w:r>
      <w:r w:rsidR="001C13AD">
        <w:rPr>
          <w:rFonts w:ascii="华文楷体" w:hAnsi="华文楷体" w:hint="eastAsia"/>
          <w:b w:val="0"/>
          <w:bCs/>
          <w:smallCaps w:val="0"/>
          <w:color w:val="auto"/>
          <w:sz w:val="24"/>
          <w:szCs w:val="24"/>
        </w:rPr>
        <w:t>制造业P</w:t>
      </w:r>
      <w:r w:rsidR="001C13AD">
        <w:rPr>
          <w:rFonts w:ascii="华文楷体" w:hAnsi="华文楷体"/>
          <w:b w:val="0"/>
          <w:bCs/>
          <w:smallCaps w:val="0"/>
          <w:color w:val="auto"/>
          <w:sz w:val="24"/>
          <w:szCs w:val="24"/>
        </w:rPr>
        <w:t>MI</w:t>
      </w:r>
      <w:r w:rsidR="001C13AD">
        <w:rPr>
          <w:rFonts w:ascii="华文楷体" w:hAnsi="华文楷体" w:hint="eastAsia"/>
          <w:b w:val="0"/>
          <w:bCs/>
          <w:smallCaps w:val="0"/>
          <w:color w:val="auto"/>
          <w:sz w:val="24"/>
          <w:szCs w:val="24"/>
        </w:rPr>
        <w:t>分项来看，</w:t>
      </w:r>
      <w:r w:rsidR="001C13AD" w:rsidRPr="001C13AD">
        <w:rPr>
          <w:rFonts w:ascii="华文楷体" w:hAnsi="华文楷体" w:hint="eastAsia"/>
          <w:b w:val="0"/>
          <w:bCs/>
          <w:smallCaps w:val="0"/>
          <w:color w:val="auto"/>
          <w:sz w:val="24"/>
          <w:szCs w:val="24"/>
        </w:rPr>
        <w:t>1月制造业PMI生产指数53.5%</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前值54.2%</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新订单指数52.3%</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前值53.6%</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从业人员指数降幅扩大至48.4%</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前值49.6%</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供货商配送时间下降至48.8%</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前值49.9%</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新出口订单50.2%</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前值51.3%</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连续五个月保持扩张</w:t>
      </w:r>
      <w:r w:rsidR="001C13AD">
        <w:rPr>
          <w:rFonts w:ascii="华文楷体" w:hAnsi="华文楷体" w:hint="eastAsia"/>
          <w:b w:val="0"/>
          <w:bCs/>
          <w:smallCaps w:val="0"/>
          <w:color w:val="auto"/>
          <w:sz w:val="24"/>
          <w:szCs w:val="24"/>
        </w:rPr>
        <w:t>，但增速增幅减弱。</w:t>
      </w:r>
      <w:r w:rsidR="001C13AD" w:rsidRPr="001C13AD">
        <w:rPr>
          <w:rFonts w:ascii="华文楷体" w:hAnsi="华文楷体" w:hint="eastAsia"/>
          <w:b w:val="0"/>
          <w:bCs/>
          <w:smallCaps w:val="0"/>
          <w:color w:val="auto"/>
          <w:sz w:val="24"/>
          <w:szCs w:val="24"/>
        </w:rPr>
        <w:t>进口跌至枯荣线下，为49.8%，前值50.4%。产成品库存49%</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前值46.2%</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原材料库存49%</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前值48.6%</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采购量52%</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前值53.2%。价格方面，出厂价格指数和原材料购进价格分别为57.2%</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前值58.9%和67.1%</w:t>
      </w:r>
      <w:r w:rsidR="001C13AD">
        <w:rPr>
          <w:rFonts w:ascii="华文楷体" w:hAnsi="华文楷体" w:hint="eastAsia"/>
          <w:b w:val="0"/>
          <w:bCs/>
          <w:smallCaps w:val="0"/>
          <w:color w:val="auto"/>
          <w:sz w:val="24"/>
          <w:szCs w:val="24"/>
        </w:rPr>
        <w:t>，</w:t>
      </w:r>
      <w:r w:rsidR="001C13AD" w:rsidRPr="001C13AD">
        <w:rPr>
          <w:rFonts w:ascii="华文楷体" w:hAnsi="华文楷体" w:hint="eastAsia"/>
          <w:b w:val="0"/>
          <w:bCs/>
          <w:smallCaps w:val="0"/>
          <w:color w:val="auto"/>
          <w:sz w:val="24"/>
          <w:szCs w:val="24"/>
        </w:rPr>
        <w:t>前值68%。</w:t>
      </w:r>
    </w:p>
    <w:p w14:paraId="0B99079B" w14:textId="39404562" w:rsidR="00A15C66" w:rsidRDefault="00A15C66" w:rsidP="00A41BA7">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从制造业P</w:t>
      </w:r>
      <w:r>
        <w:rPr>
          <w:rFonts w:ascii="华文楷体" w:hAnsi="华文楷体"/>
          <w:b w:val="0"/>
          <w:bCs/>
          <w:smallCaps w:val="0"/>
          <w:color w:val="auto"/>
          <w:sz w:val="24"/>
          <w:szCs w:val="24"/>
        </w:rPr>
        <w:t>MI</w:t>
      </w:r>
      <w:r>
        <w:rPr>
          <w:rFonts w:ascii="华文楷体" w:hAnsi="华文楷体" w:hint="eastAsia"/>
          <w:b w:val="0"/>
          <w:bCs/>
          <w:smallCaps w:val="0"/>
          <w:color w:val="auto"/>
          <w:sz w:val="24"/>
          <w:szCs w:val="24"/>
        </w:rPr>
        <w:t>数据看，</w:t>
      </w:r>
      <w:r w:rsidRPr="00A15C66">
        <w:rPr>
          <w:rFonts w:ascii="华文楷体" w:hAnsi="华文楷体" w:hint="eastAsia"/>
          <w:b w:val="0"/>
          <w:bCs/>
          <w:smallCaps w:val="0"/>
          <w:color w:val="auto"/>
          <w:sz w:val="24"/>
          <w:szCs w:val="24"/>
        </w:rPr>
        <w:t>新订单和新出口分项均有所下行，国内疫情和海外消费旺季已过是主要原因</w:t>
      </w:r>
      <w:r>
        <w:rPr>
          <w:rFonts w:ascii="华文楷体" w:hAnsi="华文楷体" w:hint="eastAsia"/>
          <w:b w:val="0"/>
          <w:bCs/>
          <w:smallCaps w:val="0"/>
          <w:color w:val="auto"/>
          <w:sz w:val="24"/>
          <w:szCs w:val="24"/>
        </w:rPr>
        <w:t>；</w:t>
      </w:r>
      <w:r w:rsidRPr="00A15C66">
        <w:rPr>
          <w:rFonts w:ascii="华文楷体" w:hAnsi="华文楷体" w:hint="eastAsia"/>
          <w:b w:val="0"/>
          <w:bCs/>
          <w:smallCaps w:val="0"/>
          <w:color w:val="auto"/>
          <w:sz w:val="24"/>
          <w:szCs w:val="24"/>
        </w:rPr>
        <w:t>新订单、新出口订单等下行情况下，在手订单分项</w:t>
      </w:r>
      <w:r>
        <w:rPr>
          <w:rFonts w:ascii="华文楷体" w:hAnsi="华文楷体" w:hint="eastAsia"/>
          <w:b w:val="0"/>
          <w:bCs/>
          <w:smallCaps w:val="0"/>
          <w:color w:val="auto"/>
          <w:sz w:val="24"/>
          <w:szCs w:val="24"/>
        </w:rPr>
        <w:t>保持一定</w:t>
      </w:r>
      <w:r w:rsidRPr="00A15C66">
        <w:rPr>
          <w:rFonts w:ascii="华文楷体" w:hAnsi="华文楷体" w:hint="eastAsia"/>
          <w:b w:val="0"/>
          <w:bCs/>
          <w:smallCaps w:val="0"/>
          <w:color w:val="auto"/>
          <w:sz w:val="24"/>
          <w:szCs w:val="24"/>
        </w:rPr>
        <w:t>改善</w:t>
      </w:r>
      <w:r>
        <w:rPr>
          <w:rFonts w:ascii="华文楷体" w:hAnsi="华文楷体" w:hint="eastAsia"/>
          <w:b w:val="0"/>
          <w:bCs/>
          <w:smallCaps w:val="0"/>
          <w:color w:val="auto"/>
          <w:sz w:val="24"/>
          <w:szCs w:val="24"/>
        </w:rPr>
        <w:t>。</w:t>
      </w:r>
      <w:r w:rsidR="00773AB5">
        <w:rPr>
          <w:rFonts w:ascii="华文楷体" w:hAnsi="华文楷体" w:hint="eastAsia"/>
          <w:b w:val="0"/>
          <w:bCs/>
          <w:smallCaps w:val="0"/>
          <w:color w:val="auto"/>
          <w:sz w:val="24"/>
          <w:szCs w:val="24"/>
        </w:rPr>
        <w:t>主要工业品价格季节性回落，带动原材料价格涨幅收窄，</w:t>
      </w:r>
      <w:r w:rsidRPr="00A15C66">
        <w:rPr>
          <w:rFonts w:ascii="华文楷体" w:hAnsi="华文楷体" w:hint="eastAsia"/>
          <w:b w:val="0"/>
          <w:bCs/>
          <w:smallCaps w:val="0"/>
          <w:color w:val="auto"/>
          <w:sz w:val="24"/>
          <w:szCs w:val="24"/>
        </w:rPr>
        <w:t>成品价格同步回落。</w:t>
      </w:r>
    </w:p>
    <w:p w14:paraId="5532F1A9" w14:textId="4803422E" w:rsidR="00A41BA7" w:rsidRDefault="001C13AD" w:rsidP="00525B9E">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非制造业</w:t>
      </w:r>
      <w:r>
        <w:rPr>
          <w:rFonts w:ascii="华文楷体" w:hAnsi="华文楷体"/>
          <w:b w:val="0"/>
          <w:bCs/>
          <w:smallCaps w:val="0"/>
          <w:color w:val="auto"/>
          <w:sz w:val="24"/>
          <w:szCs w:val="24"/>
        </w:rPr>
        <w:t>PMI</w:t>
      </w:r>
      <w:r>
        <w:rPr>
          <w:rFonts w:ascii="华文楷体" w:hAnsi="华文楷体" w:hint="eastAsia"/>
          <w:b w:val="0"/>
          <w:bCs/>
          <w:smallCaps w:val="0"/>
          <w:color w:val="auto"/>
          <w:sz w:val="24"/>
          <w:szCs w:val="24"/>
        </w:rPr>
        <w:t>指数表现略弱，</w:t>
      </w:r>
      <w:r w:rsidRPr="001C13AD">
        <w:rPr>
          <w:rFonts w:ascii="华文楷体" w:hAnsi="华文楷体" w:hint="eastAsia"/>
          <w:b w:val="0"/>
          <w:bCs/>
          <w:smallCaps w:val="0"/>
          <w:color w:val="auto"/>
          <w:sz w:val="24"/>
          <w:szCs w:val="24"/>
        </w:rPr>
        <w:t>建筑业PMI为60%</w:t>
      </w:r>
      <w:r>
        <w:rPr>
          <w:rFonts w:ascii="华文楷体" w:hAnsi="华文楷体" w:hint="eastAsia"/>
          <w:b w:val="0"/>
          <w:bCs/>
          <w:smallCaps w:val="0"/>
          <w:color w:val="auto"/>
          <w:sz w:val="24"/>
          <w:szCs w:val="24"/>
        </w:rPr>
        <w:t>，</w:t>
      </w:r>
      <w:r w:rsidRPr="001C13AD">
        <w:rPr>
          <w:rFonts w:ascii="华文楷体" w:hAnsi="华文楷体" w:hint="eastAsia"/>
          <w:b w:val="0"/>
          <w:bCs/>
          <w:smallCaps w:val="0"/>
          <w:color w:val="auto"/>
          <w:sz w:val="24"/>
          <w:szCs w:val="24"/>
        </w:rPr>
        <w:t>前值60.7%</w:t>
      </w:r>
      <w:r>
        <w:rPr>
          <w:rFonts w:ascii="华文楷体" w:hAnsi="华文楷体" w:hint="eastAsia"/>
          <w:b w:val="0"/>
          <w:bCs/>
          <w:smallCaps w:val="0"/>
          <w:color w:val="auto"/>
          <w:sz w:val="24"/>
          <w:szCs w:val="24"/>
        </w:rPr>
        <w:t>；其中</w:t>
      </w:r>
      <w:r w:rsidRPr="001C13AD">
        <w:rPr>
          <w:rFonts w:ascii="华文楷体" w:hAnsi="华文楷体" w:hint="eastAsia"/>
          <w:b w:val="0"/>
          <w:bCs/>
          <w:smallCaps w:val="0"/>
          <w:color w:val="auto"/>
          <w:sz w:val="24"/>
          <w:szCs w:val="24"/>
        </w:rPr>
        <w:t>新订单增幅回落至51.2%</w:t>
      </w:r>
      <w:r>
        <w:rPr>
          <w:rFonts w:ascii="华文楷体" w:hAnsi="华文楷体" w:hint="eastAsia"/>
          <w:b w:val="0"/>
          <w:bCs/>
          <w:smallCaps w:val="0"/>
          <w:color w:val="auto"/>
          <w:sz w:val="24"/>
          <w:szCs w:val="24"/>
        </w:rPr>
        <w:t>，</w:t>
      </w:r>
      <w:r w:rsidRPr="001C13AD">
        <w:rPr>
          <w:rFonts w:ascii="华文楷体" w:hAnsi="华文楷体" w:hint="eastAsia"/>
          <w:b w:val="0"/>
          <w:bCs/>
          <w:smallCaps w:val="0"/>
          <w:color w:val="auto"/>
          <w:sz w:val="24"/>
          <w:szCs w:val="24"/>
        </w:rPr>
        <w:t>前值55.8%。服务业PMI为51.1%</w:t>
      </w:r>
      <w:r>
        <w:rPr>
          <w:rFonts w:ascii="华文楷体" w:hAnsi="华文楷体" w:hint="eastAsia"/>
          <w:b w:val="0"/>
          <w:bCs/>
          <w:smallCaps w:val="0"/>
          <w:color w:val="auto"/>
          <w:sz w:val="24"/>
          <w:szCs w:val="24"/>
        </w:rPr>
        <w:t>，</w:t>
      </w:r>
      <w:r w:rsidRPr="001C13AD">
        <w:rPr>
          <w:rFonts w:ascii="华文楷体" w:hAnsi="华文楷体" w:hint="eastAsia"/>
          <w:b w:val="0"/>
          <w:bCs/>
          <w:smallCaps w:val="0"/>
          <w:color w:val="auto"/>
          <w:sz w:val="24"/>
          <w:szCs w:val="24"/>
        </w:rPr>
        <w:t>前值54.8%</w:t>
      </w:r>
      <w:r>
        <w:rPr>
          <w:rFonts w:ascii="华文楷体" w:hAnsi="华文楷体" w:hint="eastAsia"/>
          <w:b w:val="0"/>
          <w:bCs/>
          <w:smallCaps w:val="0"/>
          <w:color w:val="auto"/>
          <w:sz w:val="24"/>
          <w:szCs w:val="24"/>
        </w:rPr>
        <w:t>；</w:t>
      </w:r>
      <w:r w:rsidRPr="001C13AD">
        <w:rPr>
          <w:rFonts w:ascii="华文楷体" w:hAnsi="华文楷体" w:hint="eastAsia"/>
          <w:b w:val="0"/>
          <w:bCs/>
          <w:smallCaps w:val="0"/>
          <w:color w:val="auto"/>
          <w:sz w:val="24"/>
          <w:szCs w:val="24"/>
        </w:rPr>
        <w:t>其中新订单、从业人员和业务活动预期都</w:t>
      </w:r>
      <w:r>
        <w:rPr>
          <w:rFonts w:ascii="华文楷体" w:hAnsi="华文楷体" w:hint="eastAsia"/>
          <w:b w:val="0"/>
          <w:bCs/>
          <w:smallCaps w:val="0"/>
          <w:color w:val="auto"/>
          <w:sz w:val="24"/>
          <w:szCs w:val="24"/>
        </w:rPr>
        <w:t>受到一定</w:t>
      </w:r>
      <w:r w:rsidRPr="001C13AD">
        <w:rPr>
          <w:rFonts w:ascii="华文楷体" w:hAnsi="华文楷体" w:hint="eastAsia"/>
          <w:b w:val="0"/>
          <w:bCs/>
          <w:smallCaps w:val="0"/>
          <w:color w:val="auto"/>
          <w:sz w:val="24"/>
          <w:szCs w:val="24"/>
        </w:rPr>
        <w:t>影响，新订单降至48.3%</w:t>
      </w:r>
      <w:r>
        <w:rPr>
          <w:rFonts w:ascii="华文楷体" w:hAnsi="华文楷体" w:hint="eastAsia"/>
          <w:b w:val="0"/>
          <w:bCs/>
          <w:smallCaps w:val="0"/>
          <w:color w:val="auto"/>
          <w:sz w:val="24"/>
          <w:szCs w:val="24"/>
        </w:rPr>
        <w:t>，</w:t>
      </w:r>
      <w:r w:rsidRPr="001C13AD">
        <w:rPr>
          <w:rFonts w:ascii="华文楷体" w:hAnsi="华文楷体" w:hint="eastAsia"/>
          <w:b w:val="0"/>
          <w:bCs/>
          <w:smallCaps w:val="0"/>
          <w:color w:val="auto"/>
          <w:sz w:val="24"/>
          <w:szCs w:val="24"/>
        </w:rPr>
        <w:t>前值51.2%</w:t>
      </w:r>
      <w:r>
        <w:rPr>
          <w:rFonts w:ascii="华文楷体" w:hAnsi="华文楷体" w:hint="eastAsia"/>
          <w:b w:val="0"/>
          <w:bCs/>
          <w:smallCaps w:val="0"/>
          <w:color w:val="auto"/>
          <w:sz w:val="24"/>
          <w:szCs w:val="24"/>
        </w:rPr>
        <w:t>；</w:t>
      </w:r>
      <w:r w:rsidRPr="001C13AD">
        <w:rPr>
          <w:rFonts w:ascii="华文楷体" w:hAnsi="华文楷体" w:hint="eastAsia"/>
          <w:b w:val="0"/>
          <w:bCs/>
          <w:smallCaps w:val="0"/>
          <w:color w:val="auto"/>
          <w:sz w:val="24"/>
          <w:szCs w:val="24"/>
        </w:rPr>
        <w:t>从业人员降至46.9%</w:t>
      </w:r>
      <w:r>
        <w:rPr>
          <w:rFonts w:ascii="华文楷体" w:hAnsi="华文楷体" w:hint="eastAsia"/>
          <w:b w:val="0"/>
          <w:bCs/>
          <w:smallCaps w:val="0"/>
          <w:color w:val="auto"/>
          <w:sz w:val="24"/>
          <w:szCs w:val="24"/>
        </w:rPr>
        <w:t>，</w:t>
      </w:r>
      <w:r w:rsidRPr="001C13AD">
        <w:rPr>
          <w:rFonts w:ascii="华文楷体" w:hAnsi="华文楷体" w:hint="eastAsia"/>
          <w:b w:val="0"/>
          <w:bCs/>
          <w:smallCaps w:val="0"/>
          <w:color w:val="auto"/>
          <w:sz w:val="24"/>
          <w:szCs w:val="24"/>
        </w:rPr>
        <w:t>前值48%</w:t>
      </w:r>
      <w:r>
        <w:rPr>
          <w:rFonts w:ascii="华文楷体" w:hAnsi="华文楷体" w:hint="eastAsia"/>
          <w:b w:val="0"/>
          <w:bCs/>
          <w:smallCaps w:val="0"/>
          <w:color w:val="auto"/>
          <w:sz w:val="24"/>
          <w:szCs w:val="24"/>
        </w:rPr>
        <w:t>；</w:t>
      </w:r>
      <w:r w:rsidRPr="001C13AD">
        <w:rPr>
          <w:rFonts w:ascii="华文楷体" w:hAnsi="华文楷体" w:hint="eastAsia"/>
          <w:b w:val="0"/>
          <w:bCs/>
          <w:smallCaps w:val="0"/>
          <w:color w:val="auto"/>
          <w:sz w:val="24"/>
          <w:szCs w:val="24"/>
        </w:rPr>
        <w:t>业务活动预期增幅放缓至55.3%</w:t>
      </w:r>
      <w:r>
        <w:rPr>
          <w:rFonts w:ascii="华文楷体" w:hAnsi="华文楷体" w:hint="eastAsia"/>
          <w:b w:val="0"/>
          <w:bCs/>
          <w:smallCaps w:val="0"/>
          <w:color w:val="auto"/>
          <w:sz w:val="24"/>
          <w:szCs w:val="24"/>
        </w:rPr>
        <w:t>，</w:t>
      </w:r>
      <w:r w:rsidRPr="001C13AD">
        <w:rPr>
          <w:rFonts w:ascii="华文楷体" w:hAnsi="华文楷体" w:hint="eastAsia"/>
          <w:b w:val="0"/>
          <w:bCs/>
          <w:smallCaps w:val="0"/>
          <w:color w:val="auto"/>
          <w:sz w:val="24"/>
          <w:szCs w:val="24"/>
        </w:rPr>
        <w:t>前值60.1%。</w:t>
      </w:r>
    </w:p>
    <w:p w14:paraId="400EC464" w14:textId="0608AC9A" w:rsidR="00A15C66" w:rsidRPr="001C13AD" w:rsidRDefault="00A15C66" w:rsidP="00525B9E">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疫情影响下，服务业景气度回落明显，鼓励本地过年，使得</w:t>
      </w:r>
      <w:r w:rsidRPr="00A15C66">
        <w:rPr>
          <w:rFonts w:ascii="华文楷体" w:hAnsi="华文楷体" w:hint="eastAsia"/>
          <w:b w:val="0"/>
          <w:bCs/>
          <w:smallCaps w:val="0"/>
          <w:color w:val="auto"/>
          <w:sz w:val="24"/>
          <w:szCs w:val="24"/>
        </w:rPr>
        <w:t>道路运输、航空运输等行业商务活动指数也有所下降</w:t>
      </w:r>
      <w:r>
        <w:rPr>
          <w:rFonts w:ascii="华文楷体" w:hAnsi="华文楷体" w:hint="eastAsia"/>
          <w:b w:val="0"/>
          <w:bCs/>
          <w:smallCaps w:val="0"/>
          <w:color w:val="auto"/>
          <w:sz w:val="24"/>
          <w:szCs w:val="24"/>
        </w:rPr>
        <w:t>，</w:t>
      </w:r>
      <w:r w:rsidRPr="00A15C66">
        <w:rPr>
          <w:rFonts w:ascii="华文楷体" w:hAnsi="华文楷体" w:hint="eastAsia"/>
          <w:b w:val="0"/>
          <w:bCs/>
          <w:smallCaps w:val="0"/>
          <w:color w:val="auto"/>
          <w:sz w:val="24"/>
          <w:szCs w:val="24"/>
        </w:rPr>
        <w:t>聚集性消费行业商务活动指数回落幅度较大</w:t>
      </w:r>
      <w:r>
        <w:rPr>
          <w:rFonts w:ascii="华文楷体" w:hAnsi="华文楷体" w:hint="eastAsia"/>
          <w:b w:val="0"/>
          <w:bCs/>
          <w:smallCaps w:val="0"/>
          <w:color w:val="auto"/>
          <w:sz w:val="24"/>
          <w:szCs w:val="24"/>
        </w:rPr>
        <w:t>。</w:t>
      </w:r>
    </w:p>
    <w:p w14:paraId="6E5970EE" w14:textId="7AA0484D" w:rsidR="001647E6" w:rsidRPr="001647E6" w:rsidRDefault="001647E6" w:rsidP="00525B9E">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债市策略上，</w:t>
      </w:r>
      <w:r w:rsidR="00A15C66" w:rsidRPr="00A15C66">
        <w:rPr>
          <w:rFonts w:ascii="华文楷体" w:hAnsi="华文楷体" w:hint="eastAsia"/>
          <w:b w:val="0"/>
          <w:bCs/>
          <w:smallCaps w:val="0"/>
          <w:color w:val="auto"/>
          <w:sz w:val="24"/>
          <w:szCs w:val="24"/>
        </w:rPr>
        <w:t>货币政策预期转向，多地房地产调控继续加强</w:t>
      </w:r>
      <w:r w:rsidR="00A15C66">
        <w:rPr>
          <w:rFonts w:ascii="华文楷体" w:hAnsi="华文楷体" w:hint="eastAsia"/>
          <w:b w:val="0"/>
          <w:bCs/>
          <w:smallCaps w:val="0"/>
          <w:color w:val="auto"/>
          <w:sz w:val="24"/>
          <w:szCs w:val="24"/>
        </w:rPr>
        <w:t>，</w:t>
      </w:r>
      <w:r>
        <w:rPr>
          <w:rFonts w:ascii="华文楷体" w:hAnsi="华文楷体" w:hint="eastAsia"/>
          <w:b w:val="0"/>
          <w:bCs/>
          <w:smallCaps w:val="0"/>
          <w:color w:val="auto"/>
          <w:sz w:val="24"/>
          <w:szCs w:val="24"/>
        </w:rPr>
        <w:t>当前市场</w:t>
      </w:r>
      <w:r w:rsidR="001C13AD">
        <w:rPr>
          <w:rFonts w:ascii="华文楷体" w:hAnsi="华文楷体" w:hint="eastAsia"/>
          <w:b w:val="0"/>
          <w:bCs/>
          <w:smallCaps w:val="0"/>
          <w:color w:val="auto"/>
          <w:sz w:val="24"/>
          <w:szCs w:val="24"/>
        </w:rPr>
        <w:t>处于极度敏感阶段，</w:t>
      </w:r>
      <w:r w:rsidR="00773AB5">
        <w:rPr>
          <w:rFonts w:ascii="华文楷体" w:hAnsi="华文楷体" w:hint="eastAsia"/>
          <w:b w:val="0"/>
          <w:bCs/>
          <w:smallCaps w:val="0"/>
          <w:color w:val="auto"/>
          <w:sz w:val="24"/>
          <w:szCs w:val="24"/>
        </w:rPr>
        <w:t>单一事件冲击下市场波动率可能快速放大，</w:t>
      </w:r>
      <w:r w:rsidR="00A15C66">
        <w:rPr>
          <w:rFonts w:ascii="华文楷体" w:hAnsi="华文楷体" w:hint="eastAsia"/>
          <w:b w:val="0"/>
          <w:bCs/>
          <w:smallCaps w:val="0"/>
          <w:color w:val="auto"/>
          <w:sz w:val="24"/>
          <w:szCs w:val="24"/>
        </w:rPr>
        <w:t>从策略上建议以防御性强的策略为主。整体看，当前市场</w:t>
      </w:r>
      <w:r>
        <w:rPr>
          <w:rFonts w:ascii="华文楷体" w:hAnsi="华文楷体" w:hint="eastAsia"/>
          <w:b w:val="0"/>
          <w:bCs/>
          <w:smallCaps w:val="0"/>
          <w:color w:val="auto"/>
          <w:sz w:val="24"/>
          <w:szCs w:val="24"/>
        </w:rPr>
        <w:t>一致性预期仍较强，</w:t>
      </w:r>
      <w:r w:rsidR="00A15C66">
        <w:rPr>
          <w:rFonts w:ascii="华文楷体" w:hAnsi="华文楷体" w:hint="eastAsia"/>
          <w:b w:val="0"/>
          <w:bCs/>
          <w:smallCaps w:val="0"/>
          <w:color w:val="auto"/>
          <w:sz w:val="24"/>
          <w:szCs w:val="24"/>
        </w:rPr>
        <w:t>从政策角度出发过于集中一致的市场预期未必是监管层希望看到的，尤其今年更加强调政策的逆周期调节，关注宏观杠杆率、通胀和部分领域资产价格问题波动情况。利率曲线快速走平后，春节前后预计会</w:t>
      </w:r>
      <w:proofErr w:type="gramStart"/>
      <w:r w:rsidR="00A15C66">
        <w:rPr>
          <w:rFonts w:ascii="华文楷体" w:hAnsi="华文楷体" w:hint="eastAsia"/>
          <w:b w:val="0"/>
          <w:bCs/>
          <w:smallCaps w:val="0"/>
          <w:color w:val="auto"/>
          <w:sz w:val="24"/>
          <w:szCs w:val="24"/>
        </w:rPr>
        <w:t>适度回归</w:t>
      </w:r>
      <w:proofErr w:type="gramEnd"/>
      <w:r w:rsidR="00A15C66">
        <w:rPr>
          <w:rFonts w:ascii="华文楷体" w:hAnsi="华文楷体" w:hint="eastAsia"/>
          <w:b w:val="0"/>
          <w:bCs/>
          <w:smallCaps w:val="0"/>
          <w:color w:val="auto"/>
          <w:sz w:val="24"/>
          <w:szCs w:val="24"/>
        </w:rPr>
        <w:t>中枢，曲线重新调整修复</w:t>
      </w:r>
      <w:r>
        <w:rPr>
          <w:rFonts w:ascii="华文楷体" w:hAnsi="华文楷体" w:hint="eastAsia"/>
          <w:b w:val="0"/>
          <w:bCs/>
          <w:smallCaps w:val="0"/>
          <w:color w:val="auto"/>
          <w:sz w:val="24"/>
          <w:szCs w:val="24"/>
        </w:rPr>
        <w:t>，</w:t>
      </w:r>
      <w:r w:rsidR="00A15C66">
        <w:rPr>
          <w:rFonts w:ascii="华文楷体" w:hAnsi="华文楷体" w:hint="eastAsia"/>
          <w:b w:val="0"/>
          <w:bCs/>
          <w:smallCaps w:val="0"/>
          <w:color w:val="auto"/>
          <w:sz w:val="24"/>
          <w:szCs w:val="24"/>
        </w:rPr>
        <w:t>目前看对3月及二季度仍相对</w:t>
      </w:r>
      <w:r w:rsidR="00DD7C09">
        <w:rPr>
          <w:rFonts w:ascii="华文楷体" w:hAnsi="华文楷体" w:hint="eastAsia"/>
          <w:b w:val="0"/>
          <w:bCs/>
          <w:smallCaps w:val="0"/>
          <w:color w:val="auto"/>
          <w:sz w:val="24"/>
          <w:szCs w:val="24"/>
        </w:rPr>
        <w:t>谨慎</w:t>
      </w:r>
      <w:r w:rsidR="00A15C66">
        <w:rPr>
          <w:rFonts w:ascii="华文楷体" w:hAnsi="华文楷体" w:hint="eastAsia"/>
          <w:b w:val="0"/>
          <w:bCs/>
          <w:smallCaps w:val="0"/>
          <w:color w:val="auto"/>
          <w:sz w:val="24"/>
          <w:szCs w:val="24"/>
        </w:rPr>
        <w:t>中性，</w:t>
      </w:r>
      <w:r w:rsidR="00DD7C09">
        <w:rPr>
          <w:rFonts w:ascii="华文楷体" w:hAnsi="华文楷体" w:hint="eastAsia"/>
          <w:b w:val="0"/>
          <w:bCs/>
          <w:smallCaps w:val="0"/>
          <w:color w:val="auto"/>
          <w:sz w:val="24"/>
          <w:szCs w:val="24"/>
        </w:rPr>
        <w:t>债券</w:t>
      </w:r>
      <w:r w:rsidR="00A15C66">
        <w:rPr>
          <w:rFonts w:ascii="华文楷体" w:hAnsi="华文楷体" w:hint="eastAsia"/>
          <w:b w:val="0"/>
          <w:bCs/>
          <w:smallCaps w:val="0"/>
          <w:color w:val="auto"/>
          <w:sz w:val="24"/>
          <w:szCs w:val="24"/>
        </w:rPr>
        <w:t>供给压力</w:t>
      </w:r>
      <w:r w:rsidR="00DD7C09">
        <w:rPr>
          <w:rFonts w:ascii="华文楷体" w:hAnsi="华文楷体" w:hint="eastAsia"/>
          <w:b w:val="0"/>
          <w:bCs/>
          <w:smallCaps w:val="0"/>
          <w:color w:val="auto"/>
          <w:sz w:val="24"/>
          <w:szCs w:val="24"/>
        </w:rPr>
        <w:t>目前尚</w:t>
      </w:r>
      <w:r w:rsidR="00A15C66">
        <w:rPr>
          <w:rFonts w:ascii="华文楷体" w:hAnsi="华文楷体" w:hint="eastAsia"/>
          <w:b w:val="0"/>
          <w:bCs/>
          <w:smallCaps w:val="0"/>
          <w:color w:val="auto"/>
          <w:sz w:val="24"/>
          <w:szCs w:val="24"/>
        </w:rPr>
        <w:t>未释放</w:t>
      </w:r>
      <w:r w:rsidR="00DD7C09">
        <w:rPr>
          <w:rFonts w:ascii="华文楷体" w:hAnsi="华文楷体" w:hint="eastAsia"/>
          <w:b w:val="0"/>
          <w:bCs/>
          <w:smallCaps w:val="0"/>
          <w:color w:val="auto"/>
          <w:sz w:val="24"/>
          <w:szCs w:val="24"/>
        </w:rPr>
        <w:t>。</w:t>
      </w:r>
      <w:r>
        <w:rPr>
          <w:rFonts w:ascii="华文楷体" w:hAnsi="华文楷体" w:hint="eastAsia"/>
          <w:b w:val="0"/>
          <w:bCs/>
          <w:smallCaps w:val="0"/>
          <w:color w:val="auto"/>
          <w:sz w:val="24"/>
          <w:szCs w:val="24"/>
        </w:rPr>
        <w:t>信用债方面从防风险角度出发，持续筛查风险区域及行业，挖掘个</w:t>
      </w:r>
      <w:proofErr w:type="gramStart"/>
      <w:r>
        <w:rPr>
          <w:rFonts w:ascii="华文楷体" w:hAnsi="华文楷体" w:hint="eastAsia"/>
          <w:b w:val="0"/>
          <w:bCs/>
          <w:smallCaps w:val="0"/>
          <w:color w:val="auto"/>
          <w:sz w:val="24"/>
          <w:szCs w:val="24"/>
        </w:rPr>
        <w:t>券</w:t>
      </w:r>
      <w:proofErr w:type="gramEnd"/>
      <w:r>
        <w:rPr>
          <w:rFonts w:ascii="华文楷体" w:hAnsi="华文楷体" w:hint="eastAsia"/>
          <w:b w:val="0"/>
          <w:bCs/>
          <w:smallCaps w:val="0"/>
          <w:color w:val="auto"/>
          <w:sz w:val="24"/>
          <w:szCs w:val="24"/>
        </w:rPr>
        <w:t>配置机会</w:t>
      </w:r>
      <w:r w:rsidR="00DD7C09">
        <w:rPr>
          <w:rFonts w:ascii="华文楷体" w:hAnsi="华文楷体" w:hint="eastAsia"/>
          <w:b w:val="0"/>
          <w:bCs/>
          <w:smallCaps w:val="0"/>
          <w:color w:val="auto"/>
          <w:sz w:val="24"/>
          <w:szCs w:val="24"/>
        </w:rPr>
        <w:t>，城</w:t>
      </w:r>
      <w:proofErr w:type="gramStart"/>
      <w:r w:rsidR="00DD7C09">
        <w:rPr>
          <w:rFonts w:ascii="华文楷体" w:hAnsi="华文楷体" w:hint="eastAsia"/>
          <w:b w:val="0"/>
          <w:bCs/>
          <w:smallCaps w:val="0"/>
          <w:color w:val="auto"/>
          <w:sz w:val="24"/>
          <w:szCs w:val="24"/>
        </w:rPr>
        <w:t>投债收益</w:t>
      </w:r>
      <w:proofErr w:type="gramEnd"/>
      <w:r w:rsidR="00DD7C09">
        <w:rPr>
          <w:rFonts w:ascii="华文楷体" w:hAnsi="华文楷体" w:hint="eastAsia"/>
          <w:b w:val="0"/>
          <w:bCs/>
          <w:smallCaps w:val="0"/>
          <w:color w:val="auto"/>
          <w:sz w:val="24"/>
          <w:szCs w:val="24"/>
        </w:rPr>
        <w:t>分位数已压缩至近年相对低位水平，警惕区域风险暴露。</w:t>
      </w:r>
    </w:p>
    <w:p w14:paraId="7F65CE83" w14:textId="7FB0728B" w:rsidR="00091559" w:rsidRDefault="00091559" w:rsidP="00525B9E">
      <w:pPr>
        <w:pStyle w:val="Header1"/>
        <w:spacing w:before="240"/>
        <w:ind w:firstLine="480"/>
        <w:rPr>
          <w:rFonts w:ascii="华文楷体" w:hAnsi="华文楷体"/>
          <w:b w:val="0"/>
          <w:bCs/>
          <w:smallCaps w:val="0"/>
          <w:color w:val="auto"/>
          <w:sz w:val="24"/>
          <w:szCs w:val="24"/>
        </w:rPr>
      </w:pP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lastRenderedPageBreak/>
        <w:t>1</w:t>
      </w:r>
      <w:r>
        <w:rPr>
          <w:rFonts w:hint="eastAsia"/>
          <w:sz w:val="28"/>
          <w:szCs w:val="21"/>
          <w:lang w:eastAsia="zh-CN"/>
        </w:rPr>
        <w:t>、</w:t>
      </w:r>
      <w:r>
        <w:rPr>
          <w:rFonts w:hint="eastAsia"/>
          <w:sz w:val="28"/>
          <w:szCs w:val="21"/>
        </w:rPr>
        <w:t>资金面</w:t>
      </w:r>
    </w:p>
    <w:p w14:paraId="5B44DCF6" w14:textId="4578B35A"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B81E73">
        <w:rPr>
          <w:rFonts w:ascii="华文楷体" w:hAnsi="华文楷体" w:hint="eastAsia"/>
          <w:sz w:val="24"/>
          <w:szCs w:val="24"/>
          <w:lang w:eastAsia="zh-CN"/>
        </w:rPr>
        <w:t>及M</w:t>
      </w:r>
      <w:r w:rsidR="00B81E73">
        <w:rPr>
          <w:rFonts w:ascii="华文楷体" w:hAnsi="华文楷体"/>
          <w:sz w:val="24"/>
          <w:szCs w:val="24"/>
          <w:lang w:eastAsia="zh-CN"/>
        </w:rPr>
        <w:t>LF</w:t>
      </w:r>
      <w:r w:rsidR="00B81E73">
        <w:rPr>
          <w:rFonts w:ascii="华文楷体" w:hAnsi="华文楷体" w:hint="eastAsia"/>
          <w:sz w:val="24"/>
          <w:szCs w:val="24"/>
          <w:lang w:eastAsia="zh-CN"/>
        </w:rPr>
        <w:t>合计</w:t>
      </w:r>
      <w:r w:rsidR="003C6AC1">
        <w:rPr>
          <w:rFonts w:ascii="华文楷体" w:hAnsi="华文楷体" w:hint="eastAsia"/>
          <w:sz w:val="24"/>
          <w:szCs w:val="24"/>
          <w:lang w:eastAsia="zh-CN"/>
        </w:rPr>
        <w:t>净</w:t>
      </w:r>
      <w:r w:rsidR="00E1201F">
        <w:rPr>
          <w:rFonts w:ascii="华文楷体" w:hAnsi="华文楷体" w:hint="eastAsia"/>
          <w:sz w:val="24"/>
          <w:szCs w:val="24"/>
          <w:lang w:eastAsia="zh-CN"/>
        </w:rPr>
        <w:t>回笼2</w:t>
      </w:r>
      <w:r w:rsidR="00E1201F">
        <w:rPr>
          <w:rFonts w:ascii="华文楷体" w:hAnsi="华文楷体"/>
          <w:sz w:val="24"/>
          <w:szCs w:val="24"/>
          <w:lang w:eastAsia="zh-CN"/>
        </w:rPr>
        <w:t>300</w:t>
      </w:r>
      <w:r w:rsidR="00DC4A12">
        <w:rPr>
          <w:rFonts w:ascii="华文楷体" w:hAnsi="华文楷体" w:hint="eastAsia"/>
          <w:sz w:val="24"/>
          <w:szCs w:val="24"/>
          <w:lang w:eastAsia="zh-CN"/>
        </w:rPr>
        <w:t>亿</w:t>
      </w:r>
      <w:r w:rsidR="002C4ACD">
        <w:rPr>
          <w:rFonts w:ascii="华文楷体" w:hAnsi="华文楷体" w:hint="eastAsia"/>
          <w:sz w:val="24"/>
          <w:szCs w:val="24"/>
          <w:lang w:eastAsia="zh-CN"/>
        </w:rPr>
        <w:t>，</w:t>
      </w:r>
      <w:r w:rsidR="00633845">
        <w:rPr>
          <w:rFonts w:ascii="华文楷体" w:hAnsi="华文楷体" w:hint="eastAsia"/>
          <w:sz w:val="24"/>
          <w:szCs w:val="24"/>
          <w:lang w:eastAsia="zh-CN"/>
        </w:rPr>
        <w:t>周中</w:t>
      </w:r>
      <w:r w:rsidR="00E1201F">
        <w:rPr>
          <w:rFonts w:ascii="华文楷体" w:hAnsi="华文楷体" w:hint="eastAsia"/>
          <w:sz w:val="24"/>
          <w:szCs w:val="24"/>
          <w:lang w:eastAsia="zh-CN"/>
        </w:rPr>
        <w:t>尽管资金利率大幅上行，但央行</w:t>
      </w:r>
      <w:r w:rsidR="00633845">
        <w:rPr>
          <w:rFonts w:ascii="华文楷体" w:hAnsi="华文楷体" w:hint="eastAsia"/>
          <w:sz w:val="24"/>
          <w:szCs w:val="24"/>
          <w:lang w:eastAsia="zh-CN"/>
        </w:rPr>
        <w:t>连续</w:t>
      </w:r>
      <w:r w:rsidR="00E1201F">
        <w:rPr>
          <w:rFonts w:ascii="华文楷体" w:hAnsi="华文楷体" w:hint="eastAsia"/>
          <w:sz w:val="24"/>
          <w:szCs w:val="24"/>
          <w:lang w:eastAsia="zh-CN"/>
        </w:rPr>
        <w:t>投放规模1</w:t>
      </w:r>
      <w:r w:rsidR="00E1201F">
        <w:rPr>
          <w:rFonts w:ascii="华文楷体" w:hAnsi="华文楷体"/>
          <w:sz w:val="24"/>
          <w:szCs w:val="24"/>
          <w:lang w:eastAsia="zh-CN"/>
        </w:rPr>
        <w:t>000</w:t>
      </w:r>
      <w:r w:rsidR="00633845">
        <w:rPr>
          <w:rFonts w:ascii="华文楷体" w:hAnsi="华文楷体" w:hint="eastAsia"/>
          <w:sz w:val="24"/>
          <w:szCs w:val="24"/>
          <w:lang w:eastAsia="zh-CN"/>
        </w:rPr>
        <w:t>亿，</w:t>
      </w:r>
      <w:r w:rsidR="00E1201F">
        <w:rPr>
          <w:rFonts w:ascii="华文楷体" w:hAnsi="华文楷体" w:hint="eastAsia"/>
          <w:sz w:val="24"/>
          <w:szCs w:val="24"/>
          <w:lang w:eastAsia="zh-CN"/>
        </w:rPr>
        <w:t>操作相对中性</w:t>
      </w:r>
      <w:r w:rsidR="00B81E73">
        <w:rPr>
          <w:rFonts w:ascii="华文楷体" w:hAnsi="华文楷体" w:hint="eastAsia"/>
          <w:sz w:val="24"/>
          <w:szCs w:val="24"/>
          <w:lang w:eastAsia="zh-CN"/>
        </w:rPr>
        <w:t>。</w:t>
      </w:r>
      <w:r w:rsidR="00854190">
        <w:rPr>
          <w:rFonts w:ascii="华文楷体" w:hAnsi="华文楷体" w:hint="eastAsia"/>
          <w:sz w:val="24"/>
          <w:szCs w:val="24"/>
          <w:lang w:eastAsia="zh-CN"/>
        </w:rPr>
        <w:t>周五</w:t>
      </w:r>
      <w:r>
        <w:rPr>
          <w:rFonts w:ascii="华文楷体" w:hAnsi="华文楷体" w:hint="eastAsia"/>
          <w:sz w:val="24"/>
          <w:szCs w:val="24"/>
          <w:lang w:eastAsia="zh-CN"/>
        </w:rPr>
        <w:t>隔夜</w:t>
      </w:r>
      <w:r w:rsidR="00D9413F">
        <w:rPr>
          <w:rFonts w:ascii="华文楷体" w:hAnsi="华文楷体" w:hint="eastAsia"/>
          <w:sz w:val="24"/>
          <w:szCs w:val="24"/>
          <w:lang w:eastAsia="zh-CN"/>
        </w:rPr>
        <w:t>较上周</w:t>
      </w:r>
      <w:r w:rsidR="00F14B3A">
        <w:rPr>
          <w:rFonts w:ascii="华文楷体" w:hAnsi="华文楷体" w:hint="eastAsia"/>
          <w:sz w:val="24"/>
          <w:szCs w:val="24"/>
          <w:lang w:eastAsia="zh-CN"/>
        </w:rPr>
        <w:t>五</w:t>
      </w:r>
      <w:r w:rsidR="00B81E73">
        <w:rPr>
          <w:rFonts w:ascii="华文楷体" w:hAnsi="华文楷体" w:hint="eastAsia"/>
          <w:sz w:val="24"/>
          <w:szCs w:val="24"/>
          <w:lang w:eastAsia="zh-CN"/>
        </w:rPr>
        <w:t>上</w:t>
      </w:r>
      <w:r w:rsidR="00F14B3A">
        <w:rPr>
          <w:rFonts w:ascii="华文楷体" w:hAnsi="华文楷体" w:hint="eastAsia"/>
          <w:sz w:val="24"/>
          <w:szCs w:val="24"/>
          <w:lang w:eastAsia="zh-CN"/>
        </w:rPr>
        <w:t>行</w:t>
      </w:r>
      <w:r w:rsidR="00B20402">
        <w:rPr>
          <w:rFonts w:ascii="华文楷体" w:hAnsi="华文楷体"/>
          <w:sz w:val="24"/>
          <w:szCs w:val="24"/>
          <w:lang w:eastAsia="zh-CN"/>
        </w:rPr>
        <w:t>403</w:t>
      </w:r>
      <w:r w:rsidR="00D9413F">
        <w:rPr>
          <w:rFonts w:ascii="华文楷体" w:hAnsi="华文楷体" w:hint="eastAsia"/>
          <w:sz w:val="24"/>
          <w:szCs w:val="24"/>
          <w:lang w:eastAsia="zh-CN"/>
        </w:rPr>
        <w:t>BP至</w:t>
      </w:r>
      <w:r w:rsidR="00B20402">
        <w:rPr>
          <w:rFonts w:ascii="华文楷体" w:hAnsi="华文楷体"/>
          <w:sz w:val="24"/>
          <w:szCs w:val="24"/>
          <w:lang w:eastAsia="zh-CN"/>
        </w:rPr>
        <w:t>6.59</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D9413F">
        <w:rPr>
          <w:rFonts w:ascii="华文楷体" w:hAnsi="华文楷体" w:hint="eastAsia"/>
          <w:sz w:val="24"/>
          <w:szCs w:val="24"/>
          <w:lang w:eastAsia="zh-CN"/>
        </w:rPr>
        <w:t>较上周</w:t>
      </w:r>
      <w:r w:rsidR="00B20402">
        <w:rPr>
          <w:rFonts w:ascii="华文楷体" w:hAnsi="华文楷体" w:hint="eastAsia"/>
          <w:sz w:val="24"/>
          <w:szCs w:val="24"/>
          <w:lang w:eastAsia="zh-CN"/>
        </w:rPr>
        <w:t>五</w:t>
      </w:r>
      <w:r w:rsidR="00B81E73">
        <w:rPr>
          <w:rFonts w:ascii="华文楷体" w:hAnsi="华文楷体" w:hint="eastAsia"/>
          <w:sz w:val="24"/>
          <w:szCs w:val="24"/>
          <w:lang w:eastAsia="zh-CN"/>
        </w:rPr>
        <w:t>上</w:t>
      </w:r>
      <w:r w:rsidR="00F14B3A">
        <w:rPr>
          <w:rFonts w:ascii="华文楷体" w:hAnsi="华文楷体" w:hint="eastAsia"/>
          <w:sz w:val="24"/>
          <w:szCs w:val="24"/>
          <w:lang w:eastAsia="zh-CN"/>
        </w:rPr>
        <w:t>行</w:t>
      </w:r>
      <w:r w:rsidR="00B20402">
        <w:rPr>
          <w:rFonts w:ascii="华文楷体" w:hAnsi="华文楷体"/>
          <w:sz w:val="24"/>
          <w:szCs w:val="24"/>
          <w:lang w:eastAsia="zh-CN"/>
        </w:rPr>
        <w:t>187</w:t>
      </w:r>
      <w:r w:rsidR="00D9413F">
        <w:rPr>
          <w:rFonts w:ascii="华文楷体" w:hAnsi="华文楷体" w:hint="eastAsia"/>
          <w:sz w:val="24"/>
          <w:szCs w:val="24"/>
          <w:lang w:eastAsia="zh-CN"/>
        </w:rPr>
        <w:t>BP至</w:t>
      </w:r>
      <w:r w:rsidR="00B20402">
        <w:rPr>
          <w:rFonts w:ascii="华文楷体" w:hAnsi="华文楷体"/>
          <w:sz w:val="24"/>
          <w:szCs w:val="24"/>
          <w:lang w:eastAsia="zh-CN"/>
        </w:rPr>
        <w:t>4.39</w:t>
      </w:r>
      <w:r>
        <w:rPr>
          <w:rFonts w:ascii="华文楷体" w:hAnsi="华文楷体" w:hint="eastAsia"/>
          <w:sz w:val="24"/>
          <w:szCs w:val="24"/>
          <w:lang w:eastAsia="zh-CN"/>
        </w:rPr>
        <w:t>%</w:t>
      </w:r>
      <w:r w:rsidR="004F02B1">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E1201F">
        <w:tblPrEx>
          <w:tblCellMar>
            <w:left w:w="108" w:type="dxa"/>
            <w:right w:w="108" w:type="dxa"/>
          </w:tblCellMar>
        </w:tblPrEx>
        <w:trPr>
          <w:jc w:val="center"/>
        </w:trPr>
        <w:tc>
          <w:tcPr>
            <w:tcW w:w="4939" w:type="dxa"/>
            <w:vAlign w:val="center"/>
          </w:tcPr>
          <w:p w14:paraId="60AEAEDC" w14:textId="62F7ED56" w:rsidR="00E0626C" w:rsidRPr="003C6AC1" w:rsidRDefault="00E1201F" w:rsidP="009A2BA0">
            <w:pPr>
              <w:jc w:val="center"/>
              <w:rPr>
                <w:noProof/>
                <w:sz w:val="20"/>
              </w:rPr>
            </w:pPr>
            <w:r>
              <w:rPr>
                <w:noProof/>
              </w:rPr>
              <w:drawing>
                <wp:inline distT="0" distB="0" distL="0" distR="0" wp14:anchorId="5C58D541" wp14:editId="04EF688B">
                  <wp:extent cx="2999105" cy="1732086"/>
                  <wp:effectExtent l="0" t="0" r="0" b="1905"/>
                  <wp:docPr id="1" name="图表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627CFEFE" w:rsidR="00E0626C" w:rsidRPr="00F62F43" w:rsidRDefault="00E1201F" w:rsidP="009A2BA0">
            <w:pPr>
              <w:jc w:val="center"/>
              <w:rPr>
                <w:noProof/>
                <w:sz w:val="16"/>
                <w:szCs w:val="18"/>
              </w:rPr>
            </w:pPr>
            <w:r>
              <w:rPr>
                <w:noProof/>
              </w:rPr>
              <w:drawing>
                <wp:inline distT="0" distB="0" distL="0" distR="0" wp14:anchorId="704F4FCE" wp14:editId="23048CBC">
                  <wp:extent cx="2998470" cy="1767260"/>
                  <wp:effectExtent l="0" t="0" r="0" b="4445"/>
                  <wp:docPr id="3" name="图表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16E27C11" w:rsidR="00A917BC" w:rsidRPr="00A917BC" w:rsidRDefault="0016431D"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受</w:t>
      </w:r>
      <w:r w:rsidR="00A917BC">
        <w:rPr>
          <w:rFonts w:ascii="华文楷体" w:hAnsi="华文楷体" w:hint="eastAsia"/>
          <w:sz w:val="24"/>
          <w:szCs w:val="24"/>
          <w:lang w:eastAsia="zh-CN"/>
        </w:rPr>
        <w:t>资金</w:t>
      </w:r>
      <w:proofErr w:type="gramStart"/>
      <w:r w:rsidR="00A917BC">
        <w:rPr>
          <w:rFonts w:ascii="华文楷体" w:hAnsi="华文楷体" w:hint="eastAsia"/>
          <w:sz w:val="24"/>
          <w:szCs w:val="24"/>
          <w:lang w:eastAsia="zh-CN"/>
        </w:rPr>
        <w:t>面快速</w:t>
      </w:r>
      <w:proofErr w:type="gramEnd"/>
      <w:r w:rsidR="00A917BC">
        <w:rPr>
          <w:rFonts w:ascii="华文楷体" w:hAnsi="华文楷体" w:hint="eastAsia"/>
          <w:sz w:val="24"/>
          <w:szCs w:val="24"/>
          <w:lang w:eastAsia="zh-CN"/>
        </w:rPr>
        <w:t>大幅收紧影响</w:t>
      </w:r>
      <w:r>
        <w:rPr>
          <w:rFonts w:ascii="华文楷体" w:hAnsi="华文楷体" w:hint="eastAsia"/>
          <w:sz w:val="24"/>
          <w:szCs w:val="24"/>
          <w:lang w:eastAsia="zh-CN"/>
        </w:rPr>
        <w:t>，</w:t>
      </w:r>
      <w:r w:rsidR="00A917BC">
        <w:rPr>
          <w:rFonts w:ascii="华文楷体" w:hAnsi="华文楷体" w:hint="eastAsia"/>
          <w:sz w:val="24"/>
          <w:szCs w:val="24"/>
          <w:lang w:eastAsia="zh-CN"/>
        </w:rPr>
        <w:t>利率债大幅上行</w:t>
      </w:r>
      <w:r>
        <w:rPr>
          <w:rFonts w:ascii="华文楷体" w:hAnsi="华文楷体" w:hint="eastAsia"/>
          <w:sz w:val="24"/>
          <w:szCs w:val="24"/>
          <w:lang w:eastAsia="zh-CN"/>
        </w:rPr>
        <w:t>，</w:t>
      </w:r>
      <w:r w:rsidR="00A917BC">
        <w:rPr>
          <w:rFonts w:ascii="华文楷体" w:hAnsi="华文楷体" w:hint="eastAsia"/>
          <w:sz w:val="24"/>
          <w:szCs w:val="24"/>
          <w:lang w:eastAsia="zh-CN"/>
        </w:rPr>
        <w:t>尤其是短期限的1</w:t>
      </w:r>
      <w:r w:rsidR="00A917BC">
        <w:rPr>
          <w:rFonts w:ascii="华文楷体" w:hAnsi="华文楷体"/>
          <w:sz w:val="24"/>
          <w:szCs w:val="24"/>
          <w:lang w:eastAsia="zh-CN"/>
        </w:rPr>
        <w:t>Y</w:t>
      </w:r>
      <w:r w:rsidR="00A917BC">
        <w:rPr>
          <w:rFonts w:ascii="华文楷体" w:hAnsi="华文楷体" w:hint="eastAsia"/>
          <w:sz w:val="24"/>
          <w:szCs w:val="24"/>
          <w:lang w:eastAsia="zh-CN"/>
        </w:rPr>
        <w:t>内高流动性品种受影响较大</w:t>
      </w:r>
      <w:r>
        <w:rPr>
          <w:rFonts w:ascii="华文楷体" w:hAnsi="华文楷体" w:hint="eastAsia"/>
          <w:sz w:val="24"/>
          <w:szCs w:val="24"/>
          <w:lang w:eastAsia="zh-CN"/>
        </w:rPr>
        <w:t>。最终市场表现情况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A917BC">
        <w:rPr>
          <w:rFonts w:ascii="华文楷体" w:hAnsi="华文楷体"/>
          <w:sz w:val="24"/>
          <w:szCs w:val="24"/>
          <w:lang w:eastAsia="zh-CN"/>
        </w:rPr>
        <w:t>50</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A917BC">
        <w:rPr>
          <w:rFonts w:ascii="华文楷体" w:hAnsi="华文楷体"/>
          <w:sz w:val="24"/>
          <w:szCs w:val="24"/>
          <w:lang w:eastAsia="zh-CN"/>
        </w:rPr>
        <w:t>74</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A917BC">
        <w:rPr>
          <w:rFonts w:ascii="华文楷体" w:hAnsi="华文楷体" w:hint="eastAsia"/>
          <w:sz w:val="24"/>
          <w:szCs w:val="24"/>
          <w:lang w:eastAsia="zh-CN"/>
        </w:rPr>
        <w:t>上行6</w:t>
      </w:r>
      <w:r w:rsidR="00A917BC">
        <w:rPr>
          <w:rFonts w:ascii="华文楷体" w:hAnsi="华文楷体"/>
          <w:sz w:val="24"/>
          <w:szCs w:val="24"/>
          <w:lang w:eastAsia="zh-CN"/>
        </w:rPr>
        <w:t>.0</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A917BC">
        <w:rPr>
          <w:rFonts w:ascii="华文楷体" w:hAnsi="华文楷体" w:hint="eastAsia"/>
          <w:sz w:val="24"/>
          <w:szCs w:val="24"/>
          <w:lang w:eastAsia="zh-CN"/>
        </w:rPr>
        <w:t>上</w:t>
      </w:r>
      <w:r w:rsidR="007905FA">
        <w:rPr>
          <w:rFonts w:ascii="华文楷体" w:hAnsi="华文楷体" w:hint="eastAsia"/>
          <w:sz w:val="24"/>
          <w:szCs w:val="24"/>
          <w:lang w:eastAsia="zh-CN"/>
        </w:rPr>
        <w:t>行</w:t>
      </w:r>
      <w:proofErr w:type="gramEnd"/>
      <w:r w:rsidR="00A917BC">
        <w:rPr>
          <w:rFonts w:ascii="华文楷体" w:hAnsi="华文楷体"/>
          <w:sz w:val="24"/>
          <w:szCs w:val="24"/>
          <w:lang w:eastAsia="zh-CN"/>
        </w:rPr>
        <w:t>8.0</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4F02B1">
        <w:rPr>
          <w:rFonts w:ascii="华文楷体" w:hAnsi="华文楷体" w:hint="eastAsia"/>
          <w:sz w:val="24"/>
          <w:szCs w:val="24"/>
          <w:lang w:eastAsia="zh-CN"/>
        </w:rPr>
        <w:t>维持</w:t>
      </w:r>
      <w:proofErr w:type="gramEnd"/>
      <w:r w:rsidR="004F02B1">
        <w:rPr>
          <w:rFonts w:ascii="华文楷体" w:hAnsi="华文楷体" w:hint="eastAsia"/>
          <w:sz w:val="24"/>
          <w:szCs w:val="24"/>
          <w:lang w:eastAsia="zh-CN"/>
        </w:rPr>
        <w:t>在</w:t>
      </w:r>
      <w:r w:rsidR="00A917BC">
        <w:rPr>
          <w:rFonts w:ascii="华文楷体" w:hAnsi="华文楷体"/>
          <w:sz w:val="24"/>
          <w:szCs w:val="24"/>
          <w:lang w:eastAsia="zh-CN"/>
        </w:rPr>
        <w:t>41</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202D86">
        <w:rPr>
          <w:rFonts w:ascii="华文楷体" w:hAnsi="华文楷体" w:hint="eastAsia"/>
          <w:sz w:val="24"/>
          <w:szCs w:val="24"/>
          <w:lang w:eastAsia="zh-CN"/>
        </w:rPr>
        <w:t>。</w:t>
      </w:r>
      <w:r w:rsidR="00A917BC">
        <w:rPr>
          <w:rFonts w:ascii="华文楷体" w:hAnsi="华文楷体" w:hint="eastAsia"/>
          <w:sz w:val="24"/>
          <w:szCs w:val="24"/>
          <w:lang w:eastAsia="zh-CN"/>
        </w:rPr>
        <w:t>利率债曲线快速走平，从曲线看</w:t>
      </w:r>
      <w:proofErr w:type="gramStart"/>
      <w:r w:rsidR="00A917BC">
        <w:rPr>
          <w:rFonts w:ascii="华文楷体" w:hAnsi="华文楷体" w:hint="eastAsia"/>
          <w:sz w:val="24"/>
          <w:szCs w:val="24"/>
          <w:lang w:eastAsia="zh-CN"/>
        </w:rPr>
        <w:t>后续走陡</w:t>
      </w:r>
      <w:proofErr w:type="gramEnd"/>
      <w:r w:rsidR="00A917BC">
        <w:rPr>
          <w:rFonts w:ascii="华文楷体" w:hAnsi="华文楷体" w:hint="eastAsia"/>
          <w:sz w:val="24"/>
          <w:szCs w:val="24"/>
          <w:lang w:eastAsia="zh-CN"/>
        </w:rPr>
        <w:t>概率加大，债市进入敏感期。在负债稳定的状态下，市场可能持续窄幅震荡；负债和利率债供给一旦增大，又将快速大幅调整。从策略上，把握绝对价格配置时机，倾向于防御型策略为主。</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B20402">
        <w:tblPrEx>
          <w:tblCellMar>
            <w:left w:w="108" w:type="dxa"/>
            <w:right w:w="108" w:type="dxa"/>
          </w:tblCellMar>
        </w:tblPrEx>
        <w:trPr>
          <w:jc w:val="center"/>
        </w:trPr>
        <w:tc>
          <w:tcPr>
            <w:tcW w:w="4939" w:type="dxa"/>
            <w:vAlign w:val="center"/>
          </w:tcPr>
          <w:p w14:paraId="678C97B0" w14:textId="00682C9F" w:rsidR="00E0626C" w:rsidRPr="007E0340" w:rsidRDefault="00B20402" w:rsidP="002104B2">
            <w:pPr>
              <w:rPr>
                <w:noProof/>
              </w:rPr>
            </w:pPr>
            <w:r>
              <w:rPr>
                <w:noProof/>
              </w:rPr>
              <w:drawing>
                <wp:inline distT="0" distB="0" distL="0" distR="0" wp14:anchorId="37848F01" wp14:editId="7EA72EFF">
                  <wp:extent cx="2999105" cy="1767791"/>
                  <wp:effectExtent l="0" t="0" r="0" b="4445"/>
                  <wp:docPr id="4" name="图表 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160011EB" w:rsidR="00E0626C" w:rsidRPr="007E0340" w:rsidRDefault="00B20402" w:rsidP="009A2BA0">
            <w:pPr>
              <w:jc w:val="center"/>
              <w:rPr>
                <w:noProof/>
                <w:szCs w:val="18"/>
              </w:rPr>
            </w:pPr>
            <w:r>
              <w:rPr>
                <w:noProof/>
              </w:rPr>
              <w:drawing>
                <wp:inline distT="0" distB="0" distL="0" distR="0" wp14:anchorId="1BBC257C" wp14:editId="0097D879">
                  <wp:extent cx="2998470" cy="1773311"/>
                  <wp:effectExtent l="0" t="0" r="0" b="0"/>
                  <wp:docPr id="6" name="图表 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17082377"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4C6CBF">
        <w:rPr>
          <w:rFonts w:ascii="华文楷体" w:hAnsi="华文楷体" w:hint="eastAsia"/>
          <w:sz w:val="24"/>
          <w:szCs w:val="24"/>
          <w:lang w:eastAsia="zh-CN"/>
        </w:rPr>
        <w:t>表现</w:t>
      </w:r>
      <w:r w:rsidR="003F59A9">
        <w:rPr>
          <w:rFonts w:ascii="华文楷体" w:hAnsi="华文楷体" w:hint="eastAsia"/>
          <w:sz w:val="24"/>
          <w:szCs w:val="24"/>
          <w:lang w:eastAsia="zh-CN"/>
        </w:rPr>
        <w:t>，</w:t>
      </w:r>
      <w:r w:rsidR="00A917BC">
        <w:rPr>
          <w:rFonts w:ascii="华文楷体" w:hAnsi="华文楷体" w:hint="eastAsia"/>
          <w:sz w:val="24"/>
          <w:szCs w:val="24"/>
          <w:lang w:eastAsia="zh-CN"/>
        </w:rPr>
        <w:t>高等级流动性较好品种上周受冲击明显，信用债收益率曲线暂时还未进入趋势性调整阶段。</w:t>
      </w:r>
      <w:r w:rsidR="0081665A">
        <w:rPr>
          <w:rFonts w:ascii="华文楷体" w:hAnsi="华文楷体" w:hint="eastAsia"/>
          <w:sz w:val="24"/>
          <w:szCs w:val="24"/>
          <w:lang w:eastAsia="zh-CN"/>
        </w:rPr>
        <w:t>全周来看，1</w:t>
      </w:r>
      <w:r w:rsidR="0081665A">
        <w:rPr>
          <w:rFonts w:ascii="华文楷体" w:hAnsi="华文楷体"/>
          <w:sz w:val="24"/>
          <w:szCs w:val="24"/>
          <w:lang w:eastAsia="zh-CN"/>
        </w:rPr>
        <w:t>Y</w:t>
      </w:r>
      <w:r w:rsidR="0081665A">
        <w:rPr>
          <w:rFonts w:ascii="华文楷体" w:hAnsi="华文楷体" w:hint="eastAsia"/>
          <w:sz w:val="24"/>
          <w:szCs w:val="24"/>
          <w:lang w:eastAsia="zh-CN"/>
        </w:rPr>
        <w:t>中短期票据上行</w:t>
      </w:r>
      <w:r w:rsidR="00B03273">
        <w:rPr>
          <w:rFonts w:ascii="华文楷体" w:hAnsi="华文楷体"/>
          <w:sz w:val="24"/>
          <w:szCs w:val="24"/>
          <w:lang w:eastAsia="zh-CN"/>
        </w:rPr>
        <w:t>25</w:t>
      </w:r>
      <w:r w:rsidR="00B03273">
        <w:rPr>
          <w:rFonts w:ascii="华文楷体" w:hAnsi="华文楷体" w:hint="eastAsia"/>
          <w:sz w:val="24"/>
          <w:szCs w:val="24"/>
          <w:lang w:eastAsia="zh-CN"/>
        </w:rPr>
        <w:t>-</w:t>
      </w:r>
      <w:r w:rsidR="00B03273">
        <w:rPr>
          <w:rFonts w:ascii="华文楷体" w:hAnsi="华文楷体"/>
          <w:sz w:val="24"/>
          <w:szCs w:val="24"/>
          <w:lang w:eastAsia="zh-CN"/>
        </w:rPr>
        <w:t>30</w:t>
      </w:r>
      <w:r w:rsidR="0081665A">
        <w:rPr>
          <w:rFonts w:ascii="华文楷体" w:hAnsi="华文楷体"/>
          <w:sz w:val="24"/>
          <w:szCs w:val="24"/>
          <w:lang w:eastAsia="zh-CN"/>
        </w:rPr>
        <w:t>BP</w:t>
      </w:r>
      <w:r w:rsidR="0081665A">
        <w:rPr>
          <w:rFonts w:ascii="华文楷体" w:hAnsi="华文楷体" w:hint="eastAsia"/>
          <w:sz w:val="24"/>
          <w:szCs w:val="24"/>
          <w:lang w:eastAsia="zh-CN"/>
        </w:rPr>
        <w:t>，3</w:t>
      </w:r>
      <w:r w:rsidR="0081665A">
        <w:rPr>
          <w:rFonts w:ascii="华文楷体" w:hAnsi="华文楷体"/>
          <w:sz w:val="24"/>
          <w:szCs w:val="24"/>
          <w:lang w:eastAsia="zh-CN"/>
        </w:rPr>
        <w:t>Y</w:t>
      </w:r>
      <w:r w:rsidR="0081665A">
        <w:rPr>
          <w:rFonts w:ascii="华文楷体" w:hAnsi="华文楷体" w:hint="eastAsia"/>
          <w:sz w:val="24"/>
          <w:szCs w:val="24"/>
          <w:lang w:eastAsia="zh-CN"/>
        </w:rPr>
        <w:t>中票、企业债上行</w:t>
      </w:r>
      <w:r w:rsidR="00B03273">
        <w:rPr>
          <w:rFonts w:ascii="华文楷体" w:hAnsi="华文楷体"/>
          <w:sz w:val="24"/>
          <w:szCs w:val="24"/>
          <w:lang w:eastAsia="zh-CN"/>
        </w:rPr>
        <w:t>10</w:t>
      </w:r>
      <w:r w:rsidR="00B03273">
        <w:rPr>
          <w:rFonts w:ascii="华文楷体" w:hAnsi="华文楷体" w:hint="eastAsia"/>
          <w:sz w:val="24"/>
          <w:szCs w:val="24"/>
          <w:lang w:eastAsia="zh-CN"/>
        </w:rPr>
        <w:t>-</w:t>
      </w:r>
      <w:r w:rsidR="00B03273">
        <w:rPr>
          <w:rFonts w:ascii="华文楷体" w:hAnsi="华文楷体"/>
          <w:sz w:val="24"/>
          <w:szCs w:val="24"/>
          <w:lang w:eastAsia="zh-CN"/>
        </w:rPr>
        <w:t>15</w:t>
      </w:r>
      <w:r w:rsidR="0081665A">
        <w:rPr>
          <w:rFonts w:ascii="华文楷体" w:hAnsi="华文楷体"/>
          <w:sz w:val="24"/>
          <w:szCs w:val="24"/>
          <w:lang w:eastAsia="zh-CN"/>
        </w:rPr>
        <w:t>BP</w:t>
      </w:r>
      <w:r w:rsidR="0081665A">
        <w:rPr>
          <w:rFonts w:ascii="华文楷体" w:hAnsi="华文楷体" w:hint="eastAsia"/>
          <w:sz w:val="24"/>
          <w:szCs w:val="24"/>
          <w:lang w:eastAsia="zh-CN"/>
        </w:rPr>
        <w:t>，</w:t>
      </w:r>
      <w:r w:rsidR="005D5C69">
        <w:rPr>
          <w:rFonts w:ascii="华文楷体" w:hAnsi="华文楷体" w:hint="eastAsia"/>
          <w:sz w:val="24"/>
          <w:szCs w:val="24"/>
          <w:lang w:eastAsia="zh-CN"/>
        </w:rPr>
        <w:t>3</w:t>
      </w:r>
      <w:r w:rsidR="005D5C69">
        <w:rPr>
          <w:rFonts w:ascii="华文楷体" w:hAnsi="华文楷体"/>
          <w:sz w:val="24"/>
          <w:szCs w:val="24"/>
          <w:lang w:eastAsia="zh-CN"/>
        </w:rPr>
        <w:t>Y</w:t>
      </w:r>
      <w:r w:rsidR="005D5C69">
        <w:rPr>
          <w:rFonts w:ascii="华文楷体" w:hAnsi="华文楷体" w:hint="eastAsia"/>
          <w:sz w:val="24"/>
          <w:szCs w:val="24"/>
          <w:lang w:eastAsia="zh-CN"/>
        </w:rPr>
        <w:t>城投上行</w:t>
      </w:r>
      <w:r w:rsidR="00B03273">
        <w:rPr>
          <w:rFonts w:ascii="华文楷体" w:hAnsi="华文楷体"/>
          <w:sz w:val="24"/>
          <w:szCs w:val="24"/>
          <w:lang w:eastAsia="zh-CN"/>
        </w:rPr>
        <w:t>13</w:t>
      </w:r>
      <w:r w:rsidR="005D5C69">
        <w:rPr>
          <w:rFonts w:ascii="华文楷体" w:hAnsi="华文楷体"/>
          <w:sz w:val="24"/>
          <w:szCs w:val="24"/>
          <w:lang w:eastAsia="zh-CN"/>
        </w:rPr>
        <w:t>BP</w:t>
      </w:r>
      <w:r w:rsidR="005D5C69">
        <w:rPr>
          <w:rFonts w:ascii="华文楷体" w:hAnsi="华文楷体" w:hint="eastAsia"/>
          <w:sz w:val="24"/>
          <w:szCs w:val="24"/>
          <w:lang w:eastAsia="zh-CN"/>
        </w:rPr>
        <w:t>。5</w:t>
      </w:r>
      <w:r w:rsidR="005D5C69">
        <w:rPr>
          <w:rFonts w:ascii="华文楷体" w:hAnsi="华文楷体"/>
          <w:sz w:val="24"/>
          <w:szCs w:val="24"/>
          <w:lang w:eastAsia="zh-CN"/>
        </w:rPr>
        <w:t>Y</w:t>
      </w:r>
      <w:r w:rsidR="005D5C69">
        <w:rPr>
          <w:rFonts w:ascii="华文楷体" w:hAnsi="华文楷体" w:hint="eastAsia"/>
          <w:sz w:val="24"/>
          <w:szCs w:val="24"/>
          <w:lang w:eastAsia="zh-CN"/>
        </w:rPr>
        <w:t>和7</w:t>
      </w:r>
      <w:r w:rsidR="005D5C69">
        <w:rPr>
          <w:rFonts w:ascii="华文楷体" w:hAnsi="华文楷体"/>
          <w:sz w:val="24"/>
          <w:szCs w:val="24"/>
          <w:lang w:eastAsia="zh-CN"/>
        </w:rPr>
        <w:t>Y</w:t>
      </w:r>
      <w:r w:rsidR="005D5C69">
        <w:rPr>
          <w:rFonts w:ascii="华文楷体" w:hAnsi="华文楷体" w:hint="eastAsia"/>
          <w:sz w:val="24"/>
          <w:szCs w:val="24"/>
          <w:lang w:eastAsia="zh-CN"/>
        </w:rPr>
        <w:t>中长期</w:t>
      </w:r>
      <w:proofErr w:type="gramStart"/>
      <w:r w:rsidR="005D5C69">
        <w:rPr>
          <w:rFonts w:ascii="华文楷体" w:hAnsi="华文楷体" w:hint="eastAsia"/>
          <w:sz w:val="24"/>
          <w:szCs w:val="24"/>
          <w:lang w:eastAsia="zh-CN"/>
        </w:rPr>
        <w:t>限品种</w:t>
      </w:r>
      <w:proofErr w:type="gramEnd"/>
      <w:r w:rsidR="00B03273">
        <w:rPr>
          <w:rFonts w:ascii="华文楷体" w:hAnsi="华文楷体" w:hint="eastAsia"/>
          <w:sz w:val="24"/>
          <w:szCs w:val="24"/>
          <w:lang w:eastAsia="zh-CN"/>
        </w:rPr>
        <w:t>中A</w:t>
      </w:r>
      <w:r w:rsidR="00B03273">
        <w:rPr>
          <w:rFonts w:ascii="华文楷体" w:hAnsi="华文楷体"/>
          <w:sz w:val="24"/>
          <w:szCs w:val="24"/>
          <w:lang w:eastAsia="zh-CN"/>
        </w:rPr>
        <w:t>AA</w:t>
      </w:r>
      <w:r w:rsidR="00B03273">
        <w:rPr>
          <w:rFonts w:ascii="华文楷体" w:hAnsi="华文楷体" w:hint="eastAsia"/>
          <w:sz w:val="24"/>
          <w:szCs w:val="24"/>
          <w:lang w:eastAsia="zh-CN"/>
        </w:rPr>
        <w:t>评级上行相对明显在5-</w:t>
      </w:r>
      <w:r w:rsidR="00B03273">
        <w:rPr>
          <w:rFonts w:ascii="华文楷体" w:hAnsi="华文楷体"/>
          <w:sz w:val="24"/>
          <w:szCs w:val="24"/>
          <w:lang w:eastAsia="zh-CN"/>
        </w:rPr>
        <w:t>15BP</w:t>
      </w:r>
      <w:r w:rsidR="00B03273">
        <w:rPr>
          <w:rFonts w:ascii="华文楷体" w:hAnsi="华文楷体" w:hint="eastAsia"/>
          <w:sz w:val="24"/>
          <w:szCs w:val="24"/>
          <w:lang w:eastAsia="zh-CN"/>
        </w:rPr>
        <w:t>，A</w:t>
      </w:r>
      <w:r w:rsidR="00B03273">
        <w:rPr>
          <w:rFonts w:ascii="华文楷体" w:hAnsi="华文楷体"/>
          <w:sz w:val="24"/>
          <w:szCs w:val="24"/>
          <w:lang w:eastAsia="zh-CN"/>
        </w:rPr>
        <w:t>A</w:t>
      </w:r>
      <w:r w:rsidR="00B03273">
        <w:rPr>
          <w:rFonts w:ascii="华文楷体" w:hAnsi="华文楷体" w:hint="eastAsia"/>
          <w:sz w:val="24"/>
          <w:szCs w:val="24"/>
          <w:lang w:eastAsia="zh-CN"/>
        </w:rPr>
        <w:t>+品种中</w:t>
      </w:r>
      <w:proofErr w:type="gramStart"/>
      <w:r w:rsidR="00B03273">
        <w:rPr>
          <w:rFonts w:ascii="华文楷体" w:hAnsi="华文楷体" w:hint="eastAsia"/>
          <w:sz w:val="24"/>
          <w:szCs w:val="24"/>
          <w:lang w:eastAsia="zh-CN"/>
        </w:rPr>
        <w:t>城投债上行</w:t>
      </w:r>
      <w:proofErr w:type="gramEnd"/>
      <w:r w:rsidR="00B03273">
        <w:rPr>
          <w:rFonts w:ascii="华文楷体" w:hAnsi="华文楷体" w:hint="eastAsia"/>
          <w:sz w:val="24"/>
          <w:szCs w:val="24"/>
          <w:lang w:eastAsia="zh-CN"/>
        </w:rPr>
        <w:t>相对明显在1</w:t>
      </w:r>
      <w:r w:rsidR="00B03273">
        <w:rPr>
          <w:rFonts w:ascii="华文楷体" w:hAnsi="华文楷体"/>
          <w:sz w:val="24"/>
          <w:szCs w:val="24"/>
          <w:lang w:eastAsia="zh-CN"/>
        </w:rPr>
        <w:t>0</w:t>
      </w:r>
      <w:r w:rsidR="00B03273">
        <w:rPr>
          <w:rFonts w:ascii="华文楷体" w:hAnsi="华文楷体" w:hint="eastAsia"/>
          <w:sz w:val="24"/>
          <w:szCs w:val="24"/>
          <w:lang w:eastAsia="zh-CN"/>
        </w:rPr>
        <w:t>-</w:t>
      </w:r>
      <w:r w:rsidR="00B03273">
        <w:rPr>
          <w:rFonts w:ascii="华文楷体" w:hAnsi="华文楷体"/>
          <w:sz w:val="24"/>
          <w:szCs w:val="24"/>
          <w:lang w:eastAsia="zh-CN"/>
        </w:rPr>
        <w:t>13BP</w:t>
      </w:r>
      <w:r w:rsidR="005D5C69">
        <w:rPr>
          <w:rFonts w:ascii="华文楷体" w:hAnsi="华文楷体" w:hint="eastAsia"/>
          <w:sz w:val="24"/>
          <w:szCs w:val="24"/>
          <w:lang w:eastAsia="zh-CN"/>
        </w:rPr>
        <w:t>。</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B03273">
        <w:rPr>
          <w:rFonts w:ascii="华文楷体" w:hAnsi="华文楷体"/>
          <w:sz w:val="24"/>
          <w:szCs w:val="24"/>
          <w:lang w:eastAsia="zh-CN"/>
        </w:rPr>
        <w:t>35</w:t>
      </w:r>
      <w:r w:rsidR="00B03273">
        <w:rPr>
          <w:rFonts w:ascii="华文楷体" w:hAnsi="华文楷体" w:hint="eastAsia"/>
          <w:sz w:val="24"/>
          <w:szCs w:val="24"/>
          <w:lang w:eastAsia="zh-CN"/>
        </w:rPr>
        <w:t>-</w:t>
      </w:r>
      <w:r w:rsidR="00B03273">
        <w:rPr>
          <w:rFonts w:ascii="华文楷体" w:hAnsi="华文楷体"/>
          <w:sz w:val="24"/>
          <w:szCs w:val="24"/>
          <w:lang w:eastAsia="zh-CN"/>
        </w:rPr>
        <w:t>40</w:t>
      </w:r>
      <w:r w:rsidR="00DA6CA4">
        <w:rPr>
          <w:rFonts w:ascii="华文楷体" w:hAnsi="华文楷体" w:hint="eastAsia"/>
          <w:sz w:val="24"/>
          <w:szCs w:val="24"/>
          <w:lang w:eastAsia="zh-CN"/>
        </w:rPr>
        <w:t>%</w:t>
      </w:r>
      <w:r w:rsidR="009929B6">
        <w:rPr>
          <w:rFonts w:ascii="华文楷体" w:hAnsi="华文楷体" w:hint="eastAsia"/>
          <w:sz w:val="24"/>
          <w:szCs w:val="24"/>
          <w:lang w:eastAsia="zh-CN"/>
        </w:rPr>
        <w:t>水平；</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5D5C69">
        <w:rPr>
          <w:rFonts w:ascii="华文楷体" w:hAnsi="华文楷体" w:hint="eastAsia"/>
          <w:sz w:val="24"/>
          <w:szCs w:val="24"/>
          <w:lang w:eastAsia="zh-CN"/>
        </w:rPr>
        <w:t>2</w:t>
      </w:r>
      <w:r w:rsidR="00B03273">
        <w:rPr>
          <w:rFonts w:ascii="华文楷体" w:hAnsi="华文楷体"/>
          <w:sz w:val="24"/>
          <w:szCs w:val="24"/>
          <w:lang w:eastAsia="zh-CN"/>
        </w:rPr>
        <w:t>5</w:t>
      </w:r>
      <w:r w:rsidR="004F1AB3">
        <w:rPr>
          <w:rFonts w:ascii="华文楷体" w:hAnsi="华文楷体" w:hint="eastAsia"/>
          <w:sz w:val="24"/>
          <w:szCs w:val="24"/>
          <w:lang w:eastAsia="zh-CN"/>
        </w:rPr>
        <w:t>-3</w:t>
      </w:r>
      <w:r w:rsidR="00B03273">
        <w:rPr>
          <w:rFonts w:ascii="华文楷体" w:hAnsi="华文楷体"/>
          <w:sz w:val="24"/>
          <w:szCs w:val="24"/>
          <w:lang w:eastAsia="zh-CN"/>
        </w:rPr>
        <w:t>5</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A56472">
        <w:rPr>
          <w:rFonts w:ascii="华文楷体" w:hAnsi="华文楷体" w:hint="eastAsia"/>
          <w:sz w:val="24"/>
          <w:szCs w:val="24"/>
          <w:lang w:eastAsia="zh-CN"/>
        </w:rPr>
        <w:t>1</w:t>
      </w:r>
      <w:r w:rsidR="00B03273">
        <w:rPr>
          <w:rFonts w:ascii="华文楷体" w:hAnsi="华文楷体"/>
          <w:sz w:val="24"/>
          <w:szCs w:val="24"/>
          <w:lang w:eastAsia="zh-CN"/>
        </w:rPr>
        <w:t>5</w:t>
      </w:r>
      <w:r w:rsidR="004F1AB3">
        <w:rPr>
          <w:rFonts w:ascii="华文楷体" w:hAnsi="华文楷体" w:hint="eastAsia"/>
          <w:sz w:val="24"/>
          <w:szCs w:val="24"/>
          <w:lang w:eastAsia="zh-CN"/>
        </w:rPr>
        <w:t>-2</w:t>
      </w:r>
      <w:r w:rsidR="00B03273">
        <w:rPr>
          <w:rFonts w:ascii="华文楷体" w:hAnsi="华文楷体"/>
          <w:sz w:val="24"/>
          <w:szCs w:val="24"/>
          <w:lang w:eastAsia="zh-CN"/>
        </w:rPr>
        <w:t>5</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1B0864">
        <w:rPr>
          <w:rFonts w:ascii="华文楷体" w:hAnsi="华文楷体" w:hint="eastAsia"/>
          <w:sz w:val="24"/>
          <w:szCs w:val="24"/>
          <w:lang w:eastAsia="zh-CN"/>
        </w:rPr>
        <w:t>各</w:t>
      </w:r>
      <w:r w:rsidR="004F1AB3">
        <w:rPr>
          <w:rFonts w:ascii="华文楷体" w:hAnsi="华文楷体" w:hint="eastAsia"/>
          <w:sz w:val="24"/>
          <w:szCs w:val="24"/>
          <w:lang w:eastAsia="zh-CN"/>
        </w:rPr>
        <w:t>期限品</w:t>
      </w:r>
      <w:r w:rsidR="004F1AB3">
        <w:rPr>
          <w:rFonts w:ascii="华文楷体" w:hAnsi="华文楷体" w:hint="eastAsia"/>
          <w:sz w:val="24"/>
          <w:szCs w:val="24"/>
          <w:lang w:eastAsia="zh-CN"/>
        </w:rPr>
        <w:lastRenderedPageBreak/>
        <w:t>种整体</w:t>
      </w:r>
      <w:r w:rsidR="001B0864">
        <w:rPr>
          <w:rFonts w:ascii="华文楷体" w:hAnsi="华文楷体" w:hint="eastAsia"/>
          <w:sz w:val="24"/>
          <w:szCs w:val="24"/>
          <w:lang w:eastAsia="zh-CN"/>
        </w:rPr>
        <w:t>分位数</w:t>
      </w:r>
      <w:r w:rsidR="00B03273">
        <w:rPr>
          <w:rFonts w:ascii="华文楷体" w:hAnsi="华文楷体" w:hint="eastAsia"/>
          <w:sz w:val="24"/>
          <w:szCs w:val="24"/>
          <w:lang w:eastAsia="zh-CN"/>
        </w:rPr>
        <w:t>调整明显</w:t>
      </w:r>
      <w:r w:rsidR="005D5C69">
        <w:rPr>
          <w:rFonts w:ascii="华文楷体" w:hAnsi="华文楷体" w:hint="eastAsia"/>
          <w:sz w:val="24"/>
          <w:szCs w:val="24"/>
          <w:lang w:eastAsia="zh-CN"/>
        </w:rPr>
        <w:t>，</w:t>
      </w:r>
      <w:r w:rsidR="00372BA4">
        <w:rPr>
          <w:rFonts w:ascii="华文楷体" w:hAnsi="华文楷体" w:hint="eastAsia"/>
          <w:sz w:val="24"/>
          <w:szCs w:val="24"/>
          <w:lang w:eastAsia="zh-CN"/>
        </w:rPr>
        <w:t>A</w:t>
      </w:r>
      <w:r w:rsidR="00372BA4">
        <w:rPr>
          <w:rFonts w:ascii="华文楷体" w:hAnsi="华文楷体"/>
          <w:sz w:val="24"/>
          <w:szCs w:val="24"/>
          <w:lang w:eastAsia="zh-CN"/>
        </w:rPr>
        <w:t>A</w:t>
      </w:r>
      <w:r w:rsidR="00372BA4">
        <w:rPr>
          <w:rFonts w:ascii="华文楷体" w:hAnsi="华文楷体" w:hint="eastAsia"/>
          <w:sz w:val="24"/>
          <w:szCs w:val="24"/>
          <w:lang w:eastAsia="zh-CN"/>
        </w:rPr>
        <w:t>+评级</w:t>
      </w:r>
      <w:proofErr w:type="gramStart"/>
      <w:r w:rsidR="00372BA4">
        <w:rPr>
          <w:rFonts w:ascii="华文楷体" w:hAnsi="华文楷体" w:hint="eastAsia"/>
          <w:sz w:val="24"/>
          <w:szCs w:val="24"/>
          <w:lang w:eastAsia="zh-CN"/>
        </w:rPr>
        <w:t>城投债上行</w:t>
      </w:r>
      <w:proofErr w:type="gramEnd"/>
      <w:r w:rsidR="00372BA4">
        <w:rPr>
          <w:rFonts w:ascii="华文楷体" w:hAnsi="华文楷体" w:hint="eastAsia"/>
          <w:sz w:val="24"/>
          <w:szCs w:val="24"/>
          <w:lang w:eastAsia="zh-CN"/>
        </w:rPr>
        <w:t>相对明显</w:t>
      </w:r>
      <w:r w:rsidR="005D5C69">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638" w:type="dxa"/>
              <w:tblLook w:val="04A0" w:firstRow="1" w:lastRow="0" w:firstColumn="1" w:lastColumn="0" w:noHBand="0" w:noVBand="1"/>
            </w:tblPr>
            <w:tblGrid>
              <w:gridCol w:w="1325"/>
              <w:gridCol w:w="898"/>
              <w:gridCol w:w="899"/>
              <w:gridCol w:w="899"/>
              <w:gridCol w:w="898"/>
              <w:gridCol w:w="1127"/>
              <w:gridCol w:w="898"/>
              <w:gridCol w:w="898"/>
              <w:gridCol w:w="898"/>
              <w:gridCol w:w="898"/>
            </w:tblGrid>
            <w:tr w:rsidR="00A917BC" w:rsidRPr="00A917BC" w14:paraId="758632E5" w14:textId="77777777" w:rsidTr="00A917BC">
              <w:trPr>
                <w:trHeight w:val="290"/>
              </w:trPr>
              <w:tc>
                <w:tcPr>
                  <w:tcW w:w="1325" w:type="dxa"/>
                  <w:tcBorders>
                    <w:top w:val="nil"/>
                    <w:left w:val="nil"/>
                    <w:bottom w:val="single" w:sz="12" w:space="0" w:color="FFFFFF"/>
                    <w:right w:val="single" w:sz="8" w:space="0" w:color="FFFFFF"/>
                  </w:tcBorders>
                  <w:shd w:val="clear" w:color="000000" w:fill="F79646"/>
                  <w:noWrap/>
                  <w:vAlign w:val="center"/>
                  <w:hideMark/>
                </w:tcPr>
                <w:p w14:paraId="23953654"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收益率(%)</w:t>
                  </w:r>
                </w:p>
              </w:tc>
              <w:tc>
                <w:tcPr>
                  <w:tcW w:w="898" w:type="dxa"/>
                  <w:tcBorders>
                    <w:top w:val="nil"/>
                    <w:left w:val="nil"/>
                    <w:bottom w:val="single" w:sz="12" w:space="0" w:color="FFFFFF"/>
                    <w:right w:val="single" w:sz="8" w:space="0" w:color="FFFFFF"/>
                  </w:tcBorders>
                  <w:shd w:val="clear" w:color="000000" w:fill="F79646"/>
                  <w:noWrap/>
                  <w:vAlign w:val="center"/>
                  <w:hideMark/>
                </w:tcPr>
                <w:p w14:paraId="2E51F51B"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1934D651"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1B0E9C2C"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1A8A070C"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c>
                <w:tcPr>
                  <w:tcW w:w="1127" w:type="dxa"/>
                  <w:tcBorders>
                    <w:top w:val="nil"/>
                    <w:left w:val="nil"/>
                    <w:bottom w:val="single" w:sz="12" w:space="0" w:color="FFFFFF"/>
                    <w:right w:val="single" w:sz="8" w:space="0" w:color="FFFFFF"/>
                  </w:tcBorders>
                  <w:shd w:val="clear" w:color="000000" w:fill="F79646"/>
                  <w:noWrap/>
                  <w:vAlign w:val="center"/>
                  <w:hideMark/>
                </w:tcPr>
                <w:p w14:paraId="3C3D20A4"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息差</w:t>
                  </w:r>
                </w:p>
              </w:tc>
              <w:tc>
                <w:tcPr>
                  <w:tcW w:w="898" w:type="dxa"/>
                  <w:tcBorders>
                    <w:top w:val="nil"/>
                    <w:left w:val="nil"/>
                    <w:bottom w:val="single" w:sz="12" w:space="0" w:color="FFFFFF"/>
                    <w:right w:val="single" w:sz="8" w:space="0" w:color="FFFFFF"/>
                  </w:tcBorders>
                  <w:shd w:val="clear" w:color="000000" w:fill="F79646"/>
                  <w:noWrap/>
                  <w:vAlign w:val="center"/>
                  <w:hideMark/>
                </w:tcPr>
                <w:p w14:paraId="1019FFC9"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AAA</w:t>
                  </w:r>
                </w:p>
              </w:tc>
              <w:tc>
                <w:tcPr>
                  <w:tcW w:w="898" w:type="dxa"/>
                  <w:tcBorders>
                    <w:top w:val="nil"/>
                    <w:left w:val="nil"/>
                    <w:bottom w:val="single" w:sz="12" w:space="0" w:color="FFFFFF"/>
                    <w:right w:val="single" w:sz="8" w:space="0" w:color="FFFFFF"/>
                  </w:tcBorders>
                  <w:shd w:val="clear" w:color="000000" w:fill="F79646"/>
                  <w:noWrap/>
                  <w:vAlign w:val="center"/>
                  <w:hideMark/>
                </w:tcPr>
                <w:p w14:paraId="50766B14"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69F6CCC8"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3C1B11C9"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r>
            <w:tr w:rsidR="00A917BC" w:rsidRPr="00A917BC" w14:paraId="2E817CB9" w14:textId="77777777" w:rsidTr="00A917BC">
              <w:trPr>
                <w:trHeight w:val="300"/>
              </w:trPr>
              <w:tc>
                <w:tcPr>
                  <w:tcW w:w="1325" w:type="dxa"/>
                  <w:tcBorders>
                    <w:top w:val="nil"/>
                    <w:left w:val="nil"/>
                    <w:bottom w:val="single" w:sz="8" w:space="0" w:color="FFFFFF"/>
                    <w:right w:val="single" w:sz="8" w:space="0" w:color="FFFFFF"/>
                  </w:tcBorders>
                  <w:shd w:val="clear" w:color="000000" w:fill="FCD5B4"/>
                  <w:noWrap/>
                  <w:vAlign w:val="center"/>
                  <w:hideMark/>
                </w:tcPr>
                <w:p w14:paraId="385B6418"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CP</w:t>
                  </w:r>
                </w:p>
              </w:tc>
              <w:tc>
                <w:tcPr>
                  <w:tcW w:w="898" w:type="dxa"/>
                  <w:tcBorders>
                    <w:top w:val="nil"/>
                    <w:left w:val="nil"/>
                    <w:bottom w:val="single" w:sz="8" w:space="0" w:color="FFFFFF"/>
                    <w:right w:val="single" w:sz="8" w:space="0" w:color="FFFFFF"/>
                  </w:tcBorders>
                  <w:shd w:val="clear" w:color="000000" w:fill="FCD5B4"/>
                  <w:noWrap/>
                  <w:vAlign w:val="center"/>
                  <w:hideMark/>
                </w:tcPr>
                <w:p w14:paraId="251BAB9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3.25 </w:t>
                  </w:r>
                </w:p>
              </w:tc>
              <w:tc>
                <w:tcPr>
                  <w:tcW w:w="899" w:type="dxa"/>
                  <w:tcBorders>
                    <w:top w:val="nil"/>
                    <w:left w:val="nil"/>
                    <w:bottom w:val="single" w:sz="8" w:space="0" w:color="FFFFFF"/>
                    <w:right w:val="single" w:sz="8" w:space="0" w:color="FFFFFF"/>
                  </w:tcBorders>
                  <w:shd w:val="clear" w:color="000000" w:fill="FCD5B4"/>
                  <w:noWrap/>
                  <w:vAlign w:val="center"/>
                  <w:hideMark/>
                </w:tcPr>
                <w:p w14:paraId="31925C2E"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3.46 </w:t>
                  </w:r>
                </w:p>
              </w:tc>
              <w:tc>
                <w:tcPr>
                  <w:tcW w:w="899" w:type="dxa"/>
                  <w:tcBorders>
                    <w:top w:val="nil"/>
                    <w:left w:val="nil"/>
                    <w:bottom w:val="single" w:sz="8" w:space="0" w:color="FFFFFF"/>
                    <w:right w:val="single" w:sz="8" w:space="0" w:color="FFFFFF"/>
                  </w:tcBorders>
                  <w:shd w:val="clear" w:color="000000" w:fill="FCD5B4"/>
                  <w:noWrap/>
                  <w:vAlign w:val="center"/>
                  <w:hideMark/>
                </w:tcPr>
                <w:p w14:paraId="56E71D8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3.82 </w:t>
                  </w:r>
                </w:p>
              </w:tc>
              <w:tc>
                <w:tcPr>
                  <w:tcW w:w="898" w:type="dxa"/>
                  <w:tcBorders>
                    <w:top w:val="nil"/>
                    <w:left w:val="nil"/>
                    <w:bottom w:val="single" w:sz="8" w:space="0" w:color="FFFFFF"/>
                    <w:right w:val="single" w:sz="8" w:space="0" w:color="FFFFFF"/>
                  </w:tcBorders>
                  <w:shd w:val="clear" w:color="000000" w:fill="FCD5B4"/>
                  <w:noWrap/>
                  <w:vAlign w:val="center"/>
                  <w:hideMark/>
                </w:tcPr>
                <w:p w14:paraId="7B640B65"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5.99 </w:t>
                  </w:r>
                </w:p>
              </w:tc>
              <w:tc>
                <w:tcPr>
                  <w:tcW w:w="1127" w:type="dxa"/>
                  <w:tcBorders>
                    <w:top w:val="nil"/>
                    <w:left w:val="nil"/>
                    <w:bottom w:val="single" w:sz="8" w:space="0" w:color="FFFFFF"/>
                    <w:right w:val="single" w:sz="8" w:space="0" w:color="FFFFFF"/>
                  </w:tcBorders>
                  <w:shd w:val="clear" w:color="000000" w:fill="FCD5B4"/>
                  <w:noWrap/>
                  <w:vAlign w:val="center"/>
                  <w:hideMark/>
                </w:tcPr>
                <w:p w14:paraId="4816159B"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CP</w:t>
                  </w:r>
                </w:p>
              </w:tc>
              <w:tc>
                <w:tcPr>
                  <w:tcW w:w="898" w:type="dxa"/>
                  <w:tcBorders>
                    <w:top w:val="nil"/>
                    <w:left w:val="nil"/>
                    <w:bottom w:val="single" w:sz="8" w:space="0" w:color="FFFFFF"/>
                    <w:right w:val="single" w:sz="8" w:space="0" w:color="FFFFFF"/>
                  </w:tcBorders>
                  <w:shd w:val="clear" w:color="000000" w:fill="FCD5B4"/>
                  <w:noWrap/>
                  <w:vAlign w:val="center"/>
                  <w:hideMark/>
                </w:tcPr>
                <w:p w14:paraId="1247B527"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0.57 </w:t>
                  </w:r>
                </w:p>
              </w:tc>
              <w:tc>
                <w:tcPr>
                  <w:tcW w:w="898" w:type="dxa"/>
                  <w:tcBorders>
                    <w:top w:val="nil"/>
                    <w:left w:val="nil"/>
                    <w:bottom w:val="single" w:sz="8" w:space="0" w:color="FFFFFF"/>
                    <w:right w:val="single" w:sz="8" w:space="0" w:color="FFFFFF"/>
                  </w:tcBorders>
                  <w:shd w:val="clear" w:color="000000" w:fill="FCD5B4"/>
                  <w:noWrap/>
                  <w:vAlign w:val="center"/>
                  <w:hideMark/>
                </w:tcPr>
                <w:p w14:paraId="63FD447A"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0.78 </w:t>
                  </w:r>
                </w:p>
              </w:tc>
              <w:tc>
                <w:tcPr>
                  <w:tcW w:w="898" w:type="dxa"/>
                  <w:tcBorders>
                    <w:top w:val="nil"/>
                    <w:left w:val="nil"/>
                    <w:bottom w:val="single" w:sz="8" w:space="0" w:color="FFFFFF"/>
                    <w:right w:val="single" w:sz="8" w:space="0" w:color="FFFFFF"/>
                  </w:tcBorders>
                  <w:shd w:val="clear" w:color="000000" w:fill="FCD5B4"/>
                  <w:noWrap/>
                  <w:vAlign w:val="center"/>
                  <w:hideMark/>
                </w:tcPr>
                <w:p w14:paraId="0638D5B7"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1.14 </w:t>
                  </w:r>
                </w:p>
              </w:tc>
              <w:tc>
                <w:tcPr>
                  <w:tcW w:w="898" w:type="dxa"/>
                  <w:tcBorders>
                    <w:top w:val="nil"/>
                    <w:left w:val="nil"/>
                    <w:bottom w:val="single" w:sz="8" w:space="0" w:color="FFFFFF"/>
                    <w:right w:val="single" w:sz="8" w:space="0" w:color="FFFFFF"/>
                  </w:tcBorders>
                  <w:shd w:val="clear" w:color="000000" w:fill="FCD5B4"/>
                  <w:noWrap/>
                  <w:vAlign w:val="center"/>
                  <w:hideMark/>
                </w:tcPr>
                <w:p w14:paraId="4D6B7558"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3.31 </w:t>
                  </w:r>
                </w:p>
              </w:tc>
            </w:tr>
            <w:tr w:rsidR="00A917BC" w:rsidRPr="00A917BC" w14:paraId="7AF0BEC5" w14:textId="77777777" w:rsidTr="00A917BC">
              <w:trPr>
                <w:trHeight w:val="290"/>
              </w:trPr>
              <w:tc>
                <w:tcPr>
                  <w:tcW w:w="1325" w:type="dxa"/>
                  <w:tcBorders>
                    <w:top w:val="nil"/>
                    <w:left w:val="nil"/>
                    <w:bottom w:val="single" w:sz="8" w:space="0" w:color="FFFFFF"/>
                    <w:right w:val="single" w:sz="8" w:space="0" w:color="FFFFFF"/>
                  </w:tcBorders>
                  <w:shd w:val="clear" w:color="000000" w:fill="FDE9D9"/>
                  <w:noWrap/>
                  <w:vAlign w:val="center"/>
                  <w:hideMark/>
                </w:tcPr>
                <w:p w14:paraId="389A912F"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MTN3Y</w:t>
                  </w:r>
                </w:p>
              </w:tc>
              <w:tc>
                <w:tcPr>
                  <w:tcW w:w="898" w:type="dxa"/>
                  <w:tcBorders>
                    <w:top w:val="nil"/>
                    <w:left w:val="nil"/>
                    <w:bottom w:val="single" w:sz="8" w:space="0" w:color="FFFFFF"/>
                    <w:right w:val="single" w:sz="8" w:space="0" w:color="FFFFFF"/>
                  </w:tcBorders>
                  <w:shd w:val="clear" w:color="000000" w:fill="FDE9D9"/>
                  <w:noWrap/>
                  <w:vAlign w:val="center"/>
                  <w:hideMark/>
                </w:tcPr>
                <w:p w14:paraId="1CC098F5"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3.67 </w:t>
                  </w:r>
                </w:p>
              </w:tc>
              <w:tc>
                <w:tcPr>
                  <w:tcW w:w="899" w:type="dxa"/>
                  <w:tcBorders>
                    <w:top w:val="nil"/>
                    <w:left w:val="nil"/>
                    <w:bottom w:val="single" w:sz="8" w:space="0" w:color="FFFFFF"/>
                    <w:right w:val="single" w:sz="8" w:space="0" w:color="FFFFFF"/>
                  </w:tcBorders>
                  <w:shd w:val="clear" w:color="000000" w:fill="FDE9D9"/>
                  <w:noWrap/>
                  <w:vAlign w:val="center"/>
                  <w:hideMark/>
                </w:tcPr>
                <w:p w14:paraId="23B8C38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3.94 </w:t>
                  </w:r>
                </w:p>
              </w:tc>
              <w:tc>
                <w:tcPr>
                  <w:tcW w:w="899" w:type="dxa"/>
                  <w:tcBorders>
                    <w:top w:val="nil"/>
                    <w:left w:val="nil"/>
                    <w:bottom w:val="single" w:sz="8" w:space="0" w:color="FFFFFF"/>
                    <w:right w:val="single" w:sz="8" w:space="0" w:color="FFFFFF"/>
                  </w:tcBorders>
                  <w:shd w:val="clear" w:color="000000" w:fill="FDE9D9"/>
                  <w:noWrap/>
                  <w:vAlign w:val="center"/>
                  <w:hideMark/>
                </w:tcPr>
                <w:p w14:paraId="0231C154"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4.37 </w:t>
                  </w:r>
                </w:p>
              </w:tc>
              <w:tc>
                <w:tcPr>
                  <w:tcW w:w="898" w:type="dxa"/>
                  <w:tcBorders>
                    <w:top w:val="nil"/>
                    <w:left w:val="nil"/>
                    <w:bottom w:val="single" w:sz="8" w:space="0" w:color="FFFFFF"/>
                    <w:right w:val="single" w:sz="8" w:space="0" w:color="FFFFFF"/>
                  </w:tcBorders>
                  <w:shd w:val="clear" w:color="000000" w:fill="FDE9D9"/>
                  <w:noWrap/>
                  <w:vAlign w:val="center"/>
                  <w:hideMark/>
                </w:tcPr>
                <w:p w14:paraId="49D2583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6.54 </w:t>
                  </w:r>
                </w:p>
              </w:tc>
              <w:tc>
                <w:tcPr>
                  <w:tcW w:w="1127" w:type="dxa"/>
                  <w:tcBorders>
                    <w:top w:val="nil"/>
                    <w:left w:val="nil"/>
                    <w:bottom w:val="single" w:sz="8" w:space="0" w:color="FFFFFF"/>
                    <w:right w:val="single" w:sz="8" w:space="0" w:color="FFFFFF"/>
                  </w:tcBorders>
                  <w:shd w:val="clear" w:color="000000" w:fill="FDE9D9"/>
                  <w:noWrap/>
                  <w:vAlign w:val="center"/>
                  <w:hideMark/>
                </w:tcPr>
                <w:p w14:paraId="258FA96D"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MTN3Y</w:t>
                  </w:r>
                </w:p>
              </w:tc>
              <w:tc>
                <w:tcPr>
                  <w:tcW w:w="898" w:type="dxa"/>
                  <w:tcBorders>
                    <w:top w:val="nil"/>
                    <w:left w:val="nil"/>
                    <w:bottom w:val="single" w:sz="8" w:space="0" w:color="FFFFFF"/>
                    <w:right w:val="single" w:sz="8" w:space="0" w:color="FFFFFF"/>
                  </w:tcBorders>
                  <w:shd w:val="clear" w:color="000000" w:fill="FDE9D9"/>
                  <w:noWrap/>
                  <w:vAlign w:val="center"/>
                  <w:hideMark/>
                </w:tcPr>
                <w:p w14:paraId="13638AD9"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0.79 </w:t>
                  </w:r>
                </w:p>
              </w:tc>
              <w:tc>
                <w:tcPr>
                  <w:tcW w:w="898" w:type="dxa"/>
                  <w:tcBorders>
                    <w:top w:val="nil"/>
                    <w:left w:val="nil"/>
                    <w:bottom w:val="single" w:sz="8" w:space="0" w:color="FFFFFF"/>
                    <w:right w:val="single" w:sz="8" w:space="0" w:color="FFFFFF"/>
                  </w:tcBorders>
                  <w:shd w:val="clear" w:color="000000" w:fill="FDE9D9"/>
                  <w:noWrap/>
                  <w:vAlign w:val="center"/>
                  <w:hideMark/>
                </w:tcPr>
                <w:p w14:paraId="6CD26EE9"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1.06 </w:t>
                  </w:r>
                </w:p>
              </w:tc>
              <w:tc>
                <w:tcPr>
                  <w:tcW w:w="898" w:type="dxa"/>
                  <w:tcBorders>
                    <w:top w:val="nil"/>
                    <w:left w:val="nil"/>
                    <w:bottom w:val="single" w:sz="8" w:space="0" w:color="FFFFFF"/>
                    <w:right w:val="single" w:sz="8" w:space="0" w:color="FFFFFF"/>
                  </w:tcBorders>
                  <w:shd w:val="clear" w:color="000000" w:fill="FDE9D9"/>
                  <w:noWrap/>
                  <w:vAlign w:val="center"/>
                  <w:hideMark/>
                </w:tcPr>
                <w:p w14:paraId="5FF5D6CE"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1.49 </w:t>
                  </w:r>
                </w:p>
              </w:tc>
              <w:tc>
                <w:tcPr>
                  <w:tcW w:w="898" w:type="dxa"/>
                  <w:tcBorders>
                    <w:top w:val="nil"/>
                    <w:left w:val="nil"/>
                    <w:bottom w:val="single" w:sz="8" w:space="0" w:color="FFFFFF"/>
                    <w:right w:val="single" w:sz="8" w:space="0" w:color="FFFFFF"/>
                  </w:tcBorders>
                  <w:shd w:val="clear" w:color="000000" w:fill="FDE9D9"/>
                  <w:noWrap/>
                  <w:vAlign w:val="center"/>
                  <w:hideMark/>
                </w:tcPr>
                <w:p w14:paraId="753E87E8"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3.66 </w:t>
                  </w:r>
                </w:p>
              </w:tc>
            </w:tr>
            <w:tr w:rsidR="00A917BC" w:rsidRPr="00A917BC" w14:paraId="5E27D43B" w14:textId="77777777" w:rsidTr="00A917BC">
              <w:trPr>
                <w:trHeight w:val="290"/>
              </w:trPr>
              <w:tc>
                <w:tcPr>
                  <w:tcW w:w="1325" w:type="dxa"/>
                  <w:tcBorders>
                    <w:top w:val="nil"/>
                    <w:left w:val="nil"/>
                    <w:bottom w:val="single" w:sz="8" w:space="0" w:color="FFFFFF"/>
                    <w:right w:val="single" w:sz="8" w:space="0" w:color="FFFFFF"/>
                  </w:tcBorders>
                  <w:shd w:val="clear" w:color="000000" w:fill="FCD5B4"/>
                  <w:noWrap/>
                  <w:vAlign w:val="center"/>
                  <w:hideMark/>
                </w:tcPr>
                <w:p w14:paraId="00D39690"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MTN5Y</w:t>
                  </w:r>
                </w:p>
              </w:tc>
              <w:tc>
                <w:tcPr>
                  <w:tcW w:w="898" w:type="dxa"/>
                  <w:tcBorders>
                    <w:top w:val="nil"/>
                    <w:left w:val="nil"/>
                    <w:bottom w:val="single" w:sz="8" w:space="0" w:color="FFFFFF"/>
                    <w:right w:val="single" w:sz="8" w:space="0" w:color="FFFFFF"/>
                  </w:tcBorders>
                  <w:shd w:val="clear" w:color="000000" w:fill="FCD5B4"/>
                  <w:noWrap/>
                  <w:vAlign w:val="center"/>
                  <w:hideMark/>
                </w:tcPr>
                <w:p w14:paraId="5043C3B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3.82 </w:t>
                  </w:r>
                </w:p>
              </w:tc>
              <w:tc>
                <w:tcPr>
                  <w:tcW w:w="899" w:type="dxa"/>
                  <w:tcBorders>
                    <w:top w:val="nil"/>
                    <w:left w:val="nil"/>
                    <w:bottom w:val="single" w:sz="8" w:space="0" w:color="FFFFFF"/>
                    <w:right w:val="single" w:sz="8" w:space="0" w:color="FFFFFF"/>
                  </w:tcBorders>
                  <w:shd w:val="clear" w:color="000000" w:fill="FCD5B4"/>
                  <w:noWrap/>
                  <w:vAlign w:val="center"/>
                  <w:hideMark/>
                </w:tcPr>
                <w:p w14:paraId="52B72BAD"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4.27 </w:t>
                  </w:r>
                </w:p>
              </w:tc>
              <w:tc>
                <w:tcPr>
                  <w:tcW w:w="899" w:type="dxa"/>
                  <w:tcBorders>
                    <w:top w:val="nil"/>
                    <w:left w:val="nil"/>
                    <w:bottom w:val="single" w:sz="8" w:space="0" w:color="FFFFFF"/>
                    <w:right w:val="single" w:sz="8" w:space="0" w:color="FFFFFF"/>
                  </w:tcBorders>
                  <w:shd w:val="clear" w:color="000000" w:fill="FCD5B4"/>
                  <w:noWrap/>
                  <w:vAlign w:val="center"/>
                  <w:hideMark/>
                </w:tcPr>
                <w:p w14:paraId="5813710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4.77 </w:t>
                  </w:r>
                </w:p>
              </w:tc>
              <w:tc>
                <w:tcPr>
                  <w:tcW w:w="898" w:type="dxa"/>
                  <w:tcBorders>
                    <w:top w:val="nil"/>
                    <w:left w:val="nil"/>
                    <w:bottom w:val="single" w:sz="8" w:space="0" w:color="FFFFFF"/>
                    <w:right w:val="single" w:sz="8" w:space="0" w:color="FFFFFF"/>
                  </w:tcBorders>
                  <w:shd w:val="clear" w:color="000000" w:fill="FCD5B4"/>
                  <w:noWrap/>
                  <w:vAlign w:val="center"/>
                  <w:hideMark/>
                </w:tcPr>
                <w:p w14:paraId="7CE2EF14"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6.94 </w:t>
                  </w:r>
                </w:p>
              </w:tc>
              <w:tc>
                <w:tcPr>
                  <w:tcW w:w="1127" w:type="dxa"/>
                  <w:tcBorders>
                    <w:top w:val="nil"/>
                    <w:left w:val="nil"/>
                    <w:bottom w:val="single" w:sz="8" w:space="0" w:color="FFFFFF"/>
                    <w:right w:val="single" w:sz="8" w:space="0" w:color="FFFFFF"/>
                  </w:tcBorders>
                  <w:shd w:val="clear" w:color="000000" w:fill="FCD5B4"/>
                  <w:noWrap/>
                  <w:vAlign w:val="center"/>
                  <w:hideMark/>
                </w:tcPr>
                <w:p w14:paraId="28FAC98E"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MTN5Y</w:t>
                  </w:r>
                </w:p>
              </w:tc>
              <w:tc>
                <w:tcPr>
                  <w:tcW w:w="898" w:type="dxa"/>
                  <w:tcBorders>
                    <w:top w:val="nil"/>
                    <w:left w:val="nil"/>
                    <w:bottom w:val="single" w:sz="8" w:space="0" w:color="FFFFFF"/>
                    <w:right w:val="single" w:sz="8" w:space="0" w:color="FFFFFF"/>
                  </w:tcBorders>
                  <w:shd w:val="clear" w:color="000000" w:fill="FCD5B4"/>
                  <w:noWrap/>
                  <w:vAlign w:val="center"/>
                  <w:hideMark/>
                </w:tcPr>
                <w:p w14:paraId="381306A8"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0.82 </w:t>
                  </w:r>
                </w:p>
              </w:tc>
              <w:tc>
                <w:tcPr>
                  <w:tcW w:w="898" w:type="dxa"/>
                  <w:tcBorders>
                    <w:top w:val="nil"/>
                    <w:left w:val="nil"/>
                    <w:bottom w:val="single" w:sz="8" w:space="0" w:color="FFFFFF"/>
                    <w:right w:val="single" w:sz="8" w:space="0" w:color="FFFFFF"/>
                  </w:tcBorders>
                  <w:shd w:val="clear" w:color="000000" w:fill="FCD5B4"/>
                  <w:noWrap/>
                  <w:vAlign w:val="center"/>
                  <w:hideMark/>
                </w:tcPr>
                <w:p w14:paraId="4CF32C1A"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1.27 </w:t>
                  </w:r>
                </w:p>
              </w:tc>
              <w:tc>
                <w:tcPr>
                  <w:tcW w:w="898" w:type="dxa"/>
                  <w:tcBorders>
                    <w:top w:val="nil"/>
                    <w:left w:val="nil"/>
                    <w:bottom w:val="single" w:sz="8" w:space="0" w:color="FFFFFF"/>
                    <w:right w:val="single" w:sz="8" w:space="0" w:color="FFFFFF"/>
                  </w:tcBorders>
                  <w:shd w:val="clear" w:color="000000" w:fill="FCD5B4"/>
                  <w:noWrap/>
                  <w:vAlign w:val="center"/>
                  <w:hideMark/>
                </w:tcPr>
                <w:p w14:paraId="27EFCFD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1.77 </w:t>
                  </w:r>
                </w:p>
              </w:tc>
              <w:tc>
                <w:tcPr>
                  <w:tcW w:w="898" w:type="dxa"/>
                  <w:tcBorders>
                    <w:top w:val="nil"/>
                    <w:left w:val="nil"/>
                    <w:bottom w:val="single" w:sz="8" w:space="0" w:color="FFFFFF"/>
                    <w:right w:val="single" w:sz="8" w:space="0" w:color="FFFFFF"/>
                  </w:tcBorders>
                  <w:shd w:val="clear" w:color="000000" w:fill="FCD5B4"/>
                  <w:noWrap/>
                  <w:vAlign w:val="center"/>
                  <w:hideMark/>
                </w:tcPr>
                <w:p w14:paraId="36044DC2"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3.94 </w:t>
                  </w:r>
                </w:p>
              </w:tc>
            </w:tr>
            <w:tr w:rsidR="00A917BC" w:rsidRPr="00A917BC" w14:paraId="15EB7EB9" w14:textId="77777777" w:rsidTr="00A917BC">
              <w:trPr>
                <w:trHeight w:val="290"/>
              </w:trPr>
              <w:tc>
                <w:tcPr>
                  <w:tcW w:w="1325" w:type="dxa"/>
                  <w:tcBorders>
                    <w:top w:val="nil"/>
                    <w:left w:val="nil"/>
                    <w:bottom w:val="single" w:sz="8" w:space="0" w:color="FFFFFF"/>
                    <w:right w:val="single" w:sz="8" w:space="0" w:color="FFFFFF"/>
                  </w:tcBorders>
                  <w:shd w:val="clear" w:color="000000" w:fill="FDE9D9"/>
                  <w:noWrap/>
                  <w:vAlign w:val="center"/>
                  <w:hideMark/>
                </w:tcPr>
                <w:p w14:paraId="3905C396"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企业债3Y</w:t>
                  </w:r>
                </w:p>
              </w:tc>
              <w:tc>
                <w:tcPr>
                  <w:tcW w:w="898" w:type="dxa"/>
                  <w:tcBorders>
                    <w:top w:val="nil"/>
                    <w:left w:val="nil"/>
                    <w:bottom w:val="single" w:sz="8" w:space="0" w:color="FFFFFF"/>
                    <w:right w:val="single" w:sz="8" w:space="0" w:color="FFFFFF"/>
                  </w:tcBorders>
                  <w:shd w:val="clear" w:color="000000" w:fill="FDE9D9"/>
                  <w:noWrap/>
                  <w:vAlign w:val="center"/>
                  <w:hideMark/>
                </w:tcPr>
                <w:p w14:paraId="2D2D1767"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3.62 </w:t>
                  </w:r>
                </w:p>
              </w:tc>
              <w:tc>
                <w:tcPr>
                  <w:tcW w:w="899" w:type="dxa"/>
                  <w:tcBorders>
                    <w:top w:val="nil"/>
                    <w:left w:val="nil"/>
                    <w:bottom w:val="single" w:sz="8" w:space="0" w:color="FFFFFF"/>
                    <w:right w:val="single" w:sz="8" w:space="0" w:color="FFFFFF"/>
                  </w:tcBorders>
                  <w:shd w:val="clear" w:color="000000" w:fill="FDE9D9"/>
                  <w:noWrap/>
                  <w:vAlign w:val="center"/>
                  <w:hideMark/>
                </w:tcPr>
                <w:p w14:paraId="35E78FF4"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3.84 </w:t>
                  </w:r>
                </w:p>
              </w:tc>
              <w:tc>
                <w:tcPr>
                  <w:tcW w:w="899" w:type="dxa"/>
                  <w:tcBorders>
                    <w:top w:val="nil"/>
                    <w:left w:val="nil"/>
                    <w:bottom w:val="single" w:sz="8" w:space="0" w:color="FFFFFF"/>
                    <w:right w:val="single" w:sz="8" w:space="0" w:color="FFFFFF"/>
                  </w:tcBorders>
                  <w:shd w:val="clear" w:color="000000" w:fill="FDE9D9"/>
                  <w:noWrap/>
                  <w:vAlign w:val="center"/>
                  <w:hideMark/>
                </w:tcPr>
                <w:p w14:paraId="0F8A4CB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4.29 </w:t>
                  </w:r>
                </w:p>
              </w:tc>
              <w:tc>
                <w:tcPr>
                  <w:tcW w:w="898" w:type="dxa"/>
                  <w:tcBorders>
                    <w:top w:val="nil"/>
                    <w:left w:val="nil"/>
                    <w:bottom w:val="single" w:sz="8" w:space="0" w:color="FFFFFF"/>
                    <w:right w:val="single" w:sz="8" w:space="0" w:color="FFFFFF"/>
                  </w:tcBorders>
                  <w:shd w:val="clear" w:color="000000" w:fill="FDE9D9"/>
                  <w:noWrap/>
                  <w:vAlign w:val="center"/>
                  <w:hideMark/>
                </w:tcPr>
                <w:p w14:paraId="47AD265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6.50 </w:t>
                  </w:r>
                </w:p>
              </w:tc>
              <w:tc>
                <w:tcPr>
                  <w:tcW w:w="1127" w:type="dxa"/>
                  <w:tcBorders>
                    <w:top w:val="nil"/>
                    <w:left w:val="nil"/>
                    <w:bottom w:val="single" w:sz="8" w:space="0" w:color="FFFFFF"/>
                    <w:right w:val="single" w:sz="8" w:space="0" w:color="FFFFFF"/>
                  </w:tcBorders>
                  <w:shd w:val="clear" w:color="000000" w:fill="FDE9D9"/>
                  <w:noWrap/>
                  <w:vAlign w:val="center"/>
                  <w:hideMark/>
                </w:tcPr>
                <w:p w14:paraId="58A419F0"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企业债3Y</w:t>
                  </w:r>
                </w:p>
              </w:tc>
              <w:tc>
                <w:tcPr>
                  <w:tcW w:w="898" w:type="dxa"/>
                  <w:tcBorders>
                    <w:top w:val="nil"/>
                    <w:left w:val="nil"/>
                    <w:bottom w:val="single" w:sz="8" w:space="0" w:color="FFFFFF"/>
                    <w:right w:val="single" w:sz="8" w:space="0" w:color="FFFFFF"/>
                  </w:tcBorders>
                  <w:shd w:val="clear" w:color="000000" w:fill="FDE9D9"/>
                  <w:noWrap/>
                  <w:vAlign w:val="center"/>
                  <w:hideMark/>
                </w:tcPr>
                <w:p w14:paraId="2A83F99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0.74 </w:t>
                  </w:r>
                </w:p>
              </w:tc>
              <w:tc>
                <w:tcPr>
                  <w:tcW w:w="898" w:type="dxa"/>
                  <w:tcBorders>
                    <w:top w:val="nil"/>
                    <w:left w:val="nil"/>
                    <w:bottom w:val="single" w:sz="8" w:space="0" w:color="FFFFFF"/>
                    <w:right w:val="single" w:sz="8" w:space="0" w:color="FFFFFF"/>
                  </w:tcBorders>
                  <w:shd w:val="clear" w:color="000000" w:fill="FDE9D9"/>
                  <w:noWrap/>
                  <w:vAlign w:val="center"/>
                  <w:hideMark/>
                </w:tcPr>
                <w:p w14:paraId="240AAA7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0.96 </w:t>
                  </w:r>
                </w:p>
              </w:tc>
              <w:tc>
                <w:tcPr>
                  <w:tcW w:w="898" w:type="dxa"/>
                  <w:tcBorders>
                    <w:top w:val="nil"/>
                    <w:left w:val="nil"/>
                    <w:bottom w:val="single" w:sz="8" w:space="0" w:color="FFFFFF"/>
                    <w:right w:val="single" w:sz="8" w:space="0" w:color="FFFFFF"/>
                  </w:tcBorders>
                  <w:shd w:val="clear" w:color="000000" w:fill="FDE9D9"/>
                  <w:noWrap/>
                  <w:vAlign w:val="center"/>
                  <w:hideMark/>
                </w:tcPr>
                <w:p w14:paraId="483A48D5"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1.41 </w:t>
                  </w:r>
                </w:p>
              </w:tc>
              <w:tc>
                <w:tcPr>
                  <w:tcW w:w="898" w:type="dxa"/>
                  <w:tcBorders>
                    <w:top w:val="nil"/>
                    <w:left w:val="nil"/>
                    <w:bottom w:val="single" w:sz="8" w:space="0" w:color="FFFFFF"/>
                    <w:right w:val="single" w:sz="8" w:space="0" w:color="FFFFFF"/>
                  </w:tcBorders>
                  <w:shd w:val="clear" w:color="000000" w:fill="FDE9D9"/>
                  <w:noWrap/>
                  <w:vAlign w:val="center"/>
                  <w:hideMark/>
                </w:tcPr>
                <w:p w14:paraId="7F08F6A8"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3.62 </w:t>
                  </w:r>
                </w:p>
              </w:tc>
            </w:tr>
            <w:tr w:rsidR="00A917BC" w:rsidRPr="00A917BC" w14:paraId="1055DB0B" w14:textId="77777777" w:rsidTr="00A917BC">
              <w:trPr>
                <w:trHeight w:val="290"/>
              </w:trPr>
              <w:tc>
                <w:tcPr>
                  <w:tcW w:w="1325" w:type="dxa"/>
                  <w:tcBorders>
                    <w:top w:val="nil"/>
                    <w:left w:val="nil"/>
                    <w:bottom w:val="single" w:sz="8" w:space="0" w:color="FFFFFF"/>
                    <w:right w:val="single" w:sz="8" w:space="0" w:color="FFFFFF"/>
                  </w:tcBorders>
                  <w:shd w:val="clear" w:color="000000" w:fill="FCD5B4"/>
                  <w:noWrap/>
                  <w:vAlign w:val="center"/>
                  <w:hideMark/>
                </w:tcPr>
                <w:p w14:paraId="06694412"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企业债5Y</w:t>
                  </w:r>
                </w:p>
              </w:tc>
              <w:tc>
                <w:tcPr>
                  <w:tcW w:w="898" w:type="dxa"/>
                  <w:tcBorders>
                    <w:top w:val="nil"/>
                    <w:left w:val="nil"/>
                    <w:bottom w:val="single" w:sz="8" w:space="0" w:color="FFFFFF"/>
                    <w:right w:val="single" w:sz="8" w:space="0" w:color="FFFFFF"/>
                  </w:tcBorders>
                  <w:shd w:val="clear" w:color="000000" w:fill="FCD5B4"/>
                  <w:noWrap/>
                  <w:vAlign w:val="center"/>
                  <w:hideMark/>
                </w:tcPr>
                <w:p w14:paraId="0F65173F"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3.84 </w:t>
                  </w:r>
                </w:p>
              </w:tc>
              <w:tc>
                <w:tcPr>
                  <w:tcW w:w="899" w:type="dxa"/>
                  <w:tcBorders>
                    <w:top w:val="nil"/>
                    <w:left w:val="nil"/>
                    <w:bottom w:val="single" w:sz="8" w:space="0" w:color="FFFFFF"/>
                    <w:right w:val="single" w:sz="8" w:space="0" w:color="FFFFFF"/>
                  </w:tcBorders>
                  <w:shd w:val="clear" w:color="000000" w:fill="FCD5B4"/>
                  <w:noWrap/>
                  <w:vAlign w:val="center"/>
                  <w:hideMark/>
                </w:tcPr>
                <w:p w14:paraId="343981E9"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4.09 </w:t>
                  </w:r>
                </w:p>
              </w:tc>
              <w:tc>
                <w:tcPr>
                  <w:tcW w:w="899" w:type="dxa"/>
                  <w:tcBorders>
                    <w:top w:val="nil"/>
                    <w:left w:val="nil"/>
                    <w:bottom w:val="single" w:sz="8" w:space="0" w:color="FFFFFF"/>
                    <w:right w:val="single" w:sz="8" w:space="0" w:color="FFFFFF"/>
                  </w:tcBorders>
                  <w:shd w:val="clear" w:color="000000" w:fill="FCD5B4"/>
                  <w:noWrap/>
                  <w:vAlign w:val="center"/>
                  <w:hideMark/>
                </w:tcPr>
                <w:p w14:paraId="1D39A01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4.57 </w:t>
                  </w:r>
                </w:p>
              </w:tc>
              <w:tc>
                <w:tcPr>
                  <w:tcW w:w="898" w:type="dxa"/>
                  <w:tcBorders>
                    <w:top w:val="nil"/>
                    <w:left w:val="nil"/>
                    <w:bottom w:val="single" w:sz="8" w:space="0" w:color="FFFFFF"/>
                    <w:right w:val="single" w:sz="8" w:space="0" w:color="FFFFFF"/>
                  </w:tcBorders>
                  <w:shd w:val="clear" w:color="000000" w:fill="FCD5B4"/>
                  <w:noWrap/>
                  <w:vAlign w:val="center"/>
                  <w:hideMark/>
                </w:tcPr>
                <w:p w14:paraId="46BE462D"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6.79 </w:t>
                  </w:r>
                </w:p>
              </w:tc>
              <w:tc>
                <w:tcPr>
                  <w:tcW w:w="1127" w:type="dxa"/>
                  <w:tcBorders>
                    <w:top w:val="nil"/>
                    <w:left w:val="nil"/>
                    <w:bottom w:val="single" w:sz="8" w:space="0" w:color="FFFFFF"/>
                    <w:right w:val="single" w:sz="8" w:space="0" w:color="FFFFFF"/>
                  </w:tcBorders>
                  <w:shd w:val="clear" w:color="000000" w:fill="FCD5B4"/>
                  <w:noWrap/>
                  <w:vAlign w:val="center"/>
                  <w:hideMark/>
                </w:tcPr>
                <w:p w14:paraId="0C970750"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企业债5Y</w:t>
                  </w:r>
                </w:p>
              </w:tc>
              <w:tc>
                <w:tcPr>
                  <w:tcW w:w="898" w:type="dxa"/>
                  <w:tcBorders>
                    <w:top w:val="nil"/>
                    <w:left w:val="nil"/>
                    <w:bottom w:val="single" w:sz="8" w:space="0" w:color="FFFFFF"/>
                    <w:right w:val="single" w:sz="8" w:space="0" w:color="FFFFFF"/>
                  </w:tcBorders>
                  <w:shd w:val="clear" w:color="000000" w:fill="FCD5B4"/>
                  <w:noWrap/>
                  <w:vAlign w:val="center"/>
                  <w:hideMark/>
                </w:tcPr>
                <w:p w14:paraId="19004F2C"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0.84 </w:t>
                  </w:r>
                </w:p>
              </w:tc>
              <w:tc>
                <w:tcPr>
                  <w:tcW w:w="898" w:type="dxa"/>
                  <w:tcBorders>
                    <w:top w:val="nil"/>
                    <w:left w:val="nil"/>
                    <w:bottom w:val="single" w:sz="8" w:space="0" w:color="FFFFFF"/>
                    <w:right w:val="single" w:sz="8" w:space="0" w:color="FFFFFF"/>
                  </w:tcBorders>
                  <w:shd w:val="clear" w:color="000000" w:fill="FCD5B4"/>
                  <w:noWrap/>
                  <w:vAlign w:val="center"/>
                  <w:hideMark/>
                </w:tcPr>
                <w:p w14:paraId="3BEA0CEC"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1.09 </w:t>
                  </w:r>
                </w:p>
              </w:tc>
              <w:tc>
                <w:tcPr>
                  <w:tcW w:w="898" w:type="dxa"/>
                  <w:tcBorders>
                    <w:top w:val="nil"/>
                    <w:left w:val="nil"/>
                    <w:bottom w:val="single" w:sz="8" w:space="0" w:color="FFFFFF"/>
                    <w:right w:val="single" w:sz="8" w:space="0" w:color="FFFFFF"/>
                  </w:tcBorders>
                  <w:shd w:val="clear" w:color="000000" w:fill="FCD5B4"/>
                  <w:noWrap/>
                  <w:vAlign w:val="center"/>
                  <w:hideMark/>
                </w:tcPr>
                <w:p w14:paraId="1CFE8D95"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1.57 </w:t>
                  </w:r>
                </w:p>
              </w:tc>
              <w:tc>
                <w:tcPr>
                  <w:tcW w:w="898" w:type="dxa"/>
                  <w:tcBorders>
                    <w:top w:val="nil"/>
                    <w:left w:val="nil"/>
                    <w:bottom w:val="single" w:sz="8" w:space="0" w:color="FFFFFF"/>
                    <w:right w:val="single" w:sz="8" w:space="0" w:color="FFFFFF"/>
                  </w:tcBorders>
                  <w:shd w:val="clear" w:color="000000" w:fill="FCD5B4"/>
                  <w:noWrap/>
                  <w:vAlign w:val="center"/>
                  <w:hideMark/>
                </w:tcPr>
                <w:p w14:paraId="6C8A4A6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3.79 </w:t>
                  </w:r>
                </w:p>
              </w:tc>
            </w:tr>
            <w:tr w:rsidR="00A917BC" w:rsidRPr="00A917BC" w14:paraId="68D8E535" w14:textId="77777777" w:rsidTr="00A917BC">
              <w:trPr>
                <w:trHeight w:val="290"/>
              </w:trPr>
              <w:tc>
                <w:tcPr>
                  <w:tcW w:w="1325" w:type="dxa"/>
                  <w:tcBorders>
                    <w:top w:val="nil"/>
                    <w:left w:val="nil"/>
                    <w:bottom w:val="single" w:sz="8" w:space="0" w:color="FFFFFF"/>
                    <w:right w:val="single" w:sz="8" w:space="0" w:color="FFFFFF"/>
                  </w:tcBorders>
                  <w:shd w:val="clear" w:color="000000" w:fill="FDE9D9"/>
                  <w:noWrap/>
                  <w:vAlign w:val="center"/>
                  <w:hideMark/>
                </w:tcPr>
                <w:p w14:paraId="48C0E553"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企业债7Y</w:t>
                  </w:r>
                </w:p>
              </w:tc>
              <w:tc>
                <w:tcPr>
                  <w:tcW w:w="898" w:type="dxa"/>
                  <w:tcBorders>
                    <w:top w:val="nil"/>
                    <w:left w:val="nil"/>
                    <w:bottom w:val="single" w:sz="8" w:space="0" w:color="FFFFFF"/>
                    <w:right w:val="single" w:sz="8" w:space="0" w:color="FFFFFF"/>
                  </w:tcBorders>
                  <w:shd w:val="clear" w:color="000000" w:fill="FDE9D9"/>
                  <w:noWrap/>
                  <w:vAlign w:val="center"/>
                  <w:hideMark/>
                </w:tcPr>
                <w:p w14:paraId="2B2A811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3.97 </w:t>
                  </w:r>
                </w:p>
              </w:tc>
              <w:tc>
                <w:tcPr>
                  <w:tcW w:w="899" w:type="dxa"/>
                  <w:tcBorders>
                    <w:top w:val="nil"/>
                    <w:left w:val="nil"/>
                    <w:bottom w:val="single" w:sz="8" w:space="0" w:color="FFFFFF"/>
                    <w:right w:val="single" w:sz="8" w:space="0" w:color="FFFFFF"/>
                  </w:tcBorders>
                  <w:shd w:val="clear" w:color="000000" w:fill="FDE9D9"/>
                  <w:noWrap/>
                  <w:vAlign w:val="center"/>
                  <w:hideMark/>
                </w:tcPr>
                <w:p w14:paraId="18A60979"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4.27 </w:t>
                  </w:r>
                </w:p>
              </w:tc>
              <w:tc>
                <w:tcPr>
                  <w:tcW w:w="899" w:type="dxa"/>
                  <w:tcBorders>
                    <w:top w:val="nil"/>
                    <w:left w:val="nil"/>
                    <w:bottom w:val="single" w:sz="8" w:space="0" w:color="FFFFFF"/>
                    <w:right w:val="single" w:sz="8" w:space="0" w:color="FFFFFF"/>
                  </w:tcBorders>
                  <w:shd w:val="clear" w:color="000000" w:fill="FDE9D9"/>
                  <w:noWrap/>
                  <w:vAlign w:val="center"/>
                  <w:hideMark/>
                </w:tcPr>
                <w:p w14:paraId="34C6257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4.78 </w:t>
                  </w:r>
                </w:p>
              </w:tc>
              <w:tc>
                <w:tcPr>
                  <w:tcW w:w="898" w:type="dxa"/>
                  <w:tcBorders>
                    <w:top w:val="nil"/>
                    <w:left w:val="nil"/>
                    <w:bottom w:val="single" w:sz="8" w:space="0" w:color="FFFFFF"/>
                    <w:right w:val="single" w:sz="8" w:space="0" w:color="FFFFFF"/>
                  </w:tcBorders>
                  <w:shd w:val="clear" w:color="000000" w:fill="FDE9D9"/>
                  <w:noWrap/>
                  <w:vAlign w:val="center"/>
                  <w:hideMark/>
                </w:tcPr>
                <w:p w14:paraId="309772FD"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7.01 </w:t>
                  </w:r>
                </w:p>
              </w:tc>
              <w:tc>
                <w:tcPr>
                  <w:tcW w:w="1127" w:type="dxa"/>
                  <w:tcBorders>
                    <w:top w:val="nil"/>
                    <w:left w:val="nil"/>
                    <w:bottom w:val="single" w:sz="8" w:space="0" w:color="FFFFFF"/>
                    <w:right w:val="single" w:sz="8" w:space="0" w:color="FFFFFF"/>
                  </w:tcBorders>
                  <w:shd w:val="clear" w:color="000000" w:fill="FDE9D9"/>
                  <w:noWrap/>
                  <w:vAlign w:val="center"/>
                  <w:hideMark/>
                </w:tcPr>
                <w:p w14:paraId="3D230EF4"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企业债7Y</w:t>
                  </w:r>
                </w:p>
              </w:tc>
              <w:tc>
                <w:tcPr>
                  <w:tcW w:w="898" w:type="dxa"/>
                  <w:tcBorders>
                    <w:top w:val="nil"/>
                    <w:left w:val="nil"/>
                    <w:bottom w:val="single" w:sz="8" w:space="0" w:color="FFFFFF"/>
                    <w:right w:val="single" w:sz="8" w:space="0" w:color="FFFFFF"/>
                  </w:tcBorders>
                  <w:shd w:val="clear" w:color="000000" w:fill="FDE9D9"/>
                  <w:noWrap/>
                  <w:vAlign w:val="center"/>
                  <w:hideMark/>
                </w:tcPr>
                <w:p w14:paraId="05018594"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0.79 </w:t>
                  </w:r>
                </w:p>
              </w:tc>
              <w:tc>
                <w:tcPr>
                  <w:tcW w:w="898" w:type="dxa"/>
                  <w:tcBorders>
                    <w:top w:val="nil"/>
                    <w:left w:val="nil"/>
                    <w:bottom w:val="single" w:sz="8" w:space="0" w:color="FFFFFF"/>
                    <w:right w:val="single" w:sz="8" w:space="0" w:color="FFFFFF"/>
                  </w:tcBorders>
                  <w:shd w:val="clear" w:color="000000" w:fill="FDE9D9"/>
                  <w:noWrap/>
                  <w:vAlign w:val="center"/>
                  <w:hideMark/>
                </w:tcPr>
                <w:p w14:paraId="266E379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1.09 </w:t>
                  </w:r>
                </w:p>
              </w:tc>
              <w:tc>
                <w:tcPr>
                  <w:tcW w:w="898" w:type="dxa"/>
                  <w:tcBorders>
                    <w:top w:val="nil"/>
                    <w:left w:val="nil"/>
                    <w:bottom w:val="single" w:sz="8" w:space="0" w:color="FFFFFF"/>
                    <w:right w:val="single" w:sz="8" w:space="0" w:color="FFFFFF"/>
                  </w:tcBorders>
                  <w:shd w:val="clear" w:color="000000" w:fill="FDE9D9"/>
                  <w:noWrap/>
                  <w:vAlign w:val="center"/>
                  <w:hideMark/>
                </w:tcPr>
                <w:p w14:paraId="6D565D0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1.60 </w:t>
                  </w:r>
                </w:p>
              </w:tc>
              <w:tc>
                <w:tcPr>
                  <w:tcW w:w="898" w:type="dxa"/>
                  <w:tcBorders>
                    <w:top w:val="nil"/>
                    <w:left w:val="nil"/>
                    <w:bottom w:val="single" w:sz="8" w:space="0" w:color="FFFFFF"/>
                    <w:right w:val="single" w:sz="8" w:space="0" w:color="FFFFFF"/>
                  </w:tcBorders>
                  <w:shd w:val="clear" w:color="000000" w:fill="FDE9D9"/>
                  <w:noWrap/>
                  <w:vAlign w:val="center"/>
                  <w:hideMark/>
                </w:tcPr>
                <w:p w14:paraId="253B23C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3.83 </w:t>
                  </w:r>
                </w:p>
              </w:tc>
            </w:tr>
            <w:tr w:rsidR="00A917BC" w:rsidRPr="00A917BC" w14:paraId="680FFC0A" w14:textId="77777777" w:rsidTr="00A917BC">
              <w:trPr>
                <w:trHeight w:val="290"/>
              </w:trPr>
              <w:tc>
                <w:tcPr>
                  <w:tcW w:w="1325" w:type="dxa"/>
                  <w:tcBorders>
                    <w:top w:val="nil"/>
                    <w:left w:val="nil"/>
                    <w:bottom w:val="single" w:sz="8" w:space="0" w:color="FFFFFF"/>
                    <w:right w:val="single" w:sz="8" w:space="0" w:color="FFFFFF"/>
                  </w:tcBorders>
                  <w:shd w:val="clear" w:color="000000" w:fill="FCD5B4"/>
                  <w:noWrap/>
                  <w:vAlign w:val="center"/>
                  <w:hideMark/>
                </w:tcPr>
                <w:p w14:paraId="63DE0083"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3Y</w:t>
                  </w:r>
                </w:p>
              </w:tc>
              <w:tc>
                <w:tcPr>
                  <w:tcW w:w="898" w:type="dxa"/>
                  <w:tcBorders>
                    <w:top w:val="nil"/>
                    <w:left w:val="nil"/>
                    <w:bottom w:val="single" w:sz="8" w:space="0" w:color="FFFFFF"/>
                    <w:right w:val="single" w:sz="8" w:space="0" w:color="FFFFFF"/>
                  </w:tcBorders>
                  <w:shd w:val="clear" w:color="000000" w:fill="FCD5B4"/>
                  <w:noWrap/>
                  <w:vAlign w:val="center"/>
                  <w:hideMark/>
                </w:tcPr>
                <w:p w14:paraId="56C68EC2"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3.72 </w:t>
                  </w:r>
                </w:p>
              </w:tc>
              <w:tc>
                <w:tcPr>
                  <w:tcW w:w="899" w:type="dxa"/>
                  <w:tcBorders>
                    <w:top w:val="nil"/>
                    <w:left w:val="nil"/>
                    <w:bottom w:val="single" w:sz="8" w:space="0" w:color="FFFFFF"/>
                    <w:right w:val="single" w:sz="8" w:space="0" w:color="FFFFFF"/>
                  </w:tcBorders>
                  <w:shd w:val="clear" w:color="000000" w:fill="FCD5B4"/>
                  <w:noWrap/>
                  <w:vAlign w:val="center"/>
                  <w:hideMark/>
                </w:tcPr>
                <w:p w14:paraId="1A5F9B45"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3.88 </w:t>
                  </w:r>
                </w:p>
              </w:tc>
              <w:tc>
                <w:tcPr>
                  <w:tcW w:w="899" w:type="dxa"/>
                  <w:tcBorders>
                    <w:top w:val="nil"/>
                    <w:left w:val="nil"/>
                    <w:bottom w:val="single" w:sz="8" w:space="0" w:color="FFFFFF"/>
                    <w:right w:val="single" w:sz="8" w:space="0" w:color="FFFFFF"/>
                  </w:tcBorders>
                  <w:shd w:val="clear" w:color="000000" w:fill="FCD5B4"/>
                  <w:noWrap/>
                  <w:vAlign w:val="center"/>
                  <w:hideMark/>
                </w:tcPr>
                <w:p w14:paraId="60D46408"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4.13 </w:t>
                  </w:r>
                </w:p>
              </w:tc>
              <w:tc>
                <w:tcPr>
                  <w:tcW w:w="898" w:type="dxa"/>
                  <w:tcBorders>
                    <w:top w:val="nil"/>
                    <w:left w:val="nil"/>
                    <w:bottom w:val="single" w:sz="8" w:space="0" w:color="FFFFFF"/>
                    <w:right w:val="single" w:sz="8" w:space="0" w:color="FFFFFF"/>
                  </w:tcBorders>
                  <w:shd w:val="clear" w:color="000000" w:fill="FCD5B4"/>
                  <w:noWrap/>
                  <w:vAlign w:val="center"/>
                  <w:hideMark/>
                </w:tcPr>
                <w:p w14:paraId="4F0E691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6.34 </w:t>
                  </w:r>
                </w:p>
              </w:tc>
              <w:tc>
                <w:tcPr>
                  <w:tcW w:w="1127" w:type="dxa"/>
                  <w:tcBorders>
                    <w:top w:val="nil"/>
                    <w:left w:val="nil"/>
                    <w:bottom w:val="single" w:sz="8" w:space="0" w:color="FFFFFF"/>
                    <w:right w:val="single" w:sz="8" w:space="0" w:color="FFFFFF"/>
                  </w:tcBorders>
                  <w:shd w:val="clear" w:color="000000" w:fill="FCD5B4"/>
                  <w:noWrap/>
                  <w:vAlign w:val="center"/>
                  <w:hideMark/>
                </w:tcPr>
                <w:p w14:paraId="76E162B3"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3Y</w:t>
                  </w:r>
                </w:p>
              </w:tc>
              <w:tc>
                <w:tcPr>
                  <w:tcW w:w="898" w:type="dxa"/>
                  <w:tcBorders>
                    <w:top w:val="nil"/>
                    <w:left w:val="nil"/>
                    <w:bottom w:val="single" w:sz="8" w:space="0" w:color="FFFFFF"/>
                    <w:right w:val="single" w:sz="8" w:space="0" w:color="FFFFFF"/>
                  </w:tcBorders>
                  <w:shd w:val="clear" w:color="000000" w:fill="FCD5B4"/>
                  <w:noWrap/>
                  <w:vAlign w:val="center"/>
                  <w:hideMark/>
                </w:tcPr>
                <w:p w14:paraId="3F946FB4"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0.83 </w:t>
                  </w:r>
                </w:p>
              </w:tc>
              <w:tc>
                <w:tcPr>
                  <w:tcW w:w="898" w:type="dxa"/>
                  <w:tcBorders>
                    <w:top w:val="nil"/>
                    <w:left w:val="nil"/>
                    <w:bottom w:val="single" w:sz="8" w:space="0" w:color="FFFFFF"/>
                    <w:right w:val="single" w:sz="8" w:space="0" w:color="FFFFFF"/>
                  </w:tcBorders>
                  <w:shd w:val="clear" w:color="000000" w:fill="FCD5B4"/>
                  <w:noWrap/>
                  <w:vAlign w:val="center"/>
                  <w:hideMark/>
                </w:tcPr>
                <w:p w14:paraId="3C8E1DD7"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0.99 </w:t>
                  </w:r>
                </w:p>
              </w:tc>
              <w:tc>
                <w:tcPr>
                  <w:tcW w:w="898" w:type="dxa"/>
                  <w:tcBorders>
                    <w:top w:val="nil"/>
                    <w:left w:val="nil"/>
                    <w:bottom w:val="single" w:sz="8" w:space="0" w:color="FFFFFF"/>
                    <w:right w:val="single" w:sz="8" w:space="0" w:color="FFFFFF"/>
                  </w:tcBorders>
                  <w:shd w:val="clear" w:color="000000" w:fill="FCD5B4"/>
                  <w:noWrap/>
                  <w:vAlign w:val="center"/>
                  <w:hideMark/>
                </w:tcPr>
                <w:p w14:paraId="331B8597"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1.25 </w:t>
                  </w:r>
                </w:p>
              </w:tc>
              <w:tc>
                <w:tcPr>
                  <w:tcW w:w="898" w:type="dxa"/>
                  <w:tcBorders>
                    <w:top w:val="nil"/>
                    <w:left w:val="nil"/>
                    <w:bottom w:val="single" w:sz="8" w:space="0" w:color="FFFFFF"/>
                    <w:right w:val="single" w:sz="8" w:space="0" w:color="FFFFFF"/>
                  </w:tcBorders>
                  <w:shd w:val="clear" w:color="000000" w:fill="FCD5B4"/>
                  <w:noWrap/>
                  <w:vAlign w:val="center"/>
                  <w:hideMark/>
                </w:tcPr>
                <w:p w14:paraId="41E0CC72"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3.46 </w:t>
                  </w:r>
                </w:p>
              </w:tc>
            </w:tr>
            <w:tr w:rsidR="00A917BC" w:rsidRPr="00A917BC" w14:paraId="4F6DFB7D" w14:textId="77777777" w:rsidTr="00A917BC">
              <w:trPr>
                <w:trHeight w:val="290"/>
              </w:trPr>
              <w:tc>
                <w:tcPr>
                  <w:tcW w:w="1325" w:type="dxa"/>
                  <w:tcBorders>
                    <w:top w:val="nil"/>
                    <w:left w:val="nil"/>
                    <w:bottom w:val="single" w:sz="8" w:space="0" w:color="FFFFFF"/>
                    <w:right w:val="single" w:sz="8" w:space="0" w:color="FFFFFF"/>
                  </w:tcBorders>
                  <w:shd w:val="clear" w:color="000000" w:fill="FDE9D9"/>
                  <w:noWrap/>
                  <w:vAlign w:val="center"/>
                  <w:hideMark/>
                </w:tcPr>
                <w:p w14:paraId="4845088A"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5Y</w:t>
                  </w:r>
                </w:p>
              </w:tc>
              <w:tc>
                <w:tcPr>
                  <w:tcW w:w="898" w:type="dxa"/>
                  <w:tcBorders>
                    <w:top w:val="nil"/>
                    <w:left w:val="nil"/>
                    <w:bottom w:val="single" w:sz="8" w:space="0" w:color="FFFFFF"/>
                    <w:right w:val="single" w:sz="8" w:space="0" w:color="FFFFFF"/>
                  </w:tcBorders>
                  <w:shd w:val="clear" w:color="000000" w:fill="FDE9D9"/>
                  <w:noWrap/>
                  <w:vAlign w:val="center"/>
                  <w:hideMark/>
                </w:tcPr>
                <w:p w14:paraId="1B65681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3.87 </w:t>
                  </w:r>
                </w:p>
              </w:tc>
              <w:tc>
                <w:tcPr>
                  <w:tcW w:w="899" w:type="dxa"/>
                  <w:tcBorders>
                    <w:top w:val="nil"/>
                    <w:left w:val="nil"/>
                    <w:bottom w:val="single" w:sz="8" w:space="0" w:color="FFFFFF"/>
                    <w:right w:val="single" w:sz="8" w:space="0" w:color="FFFFFF"/>
                  </w:tcBorders>
                  <w:shd w:val="clear" w:color="000000" w:fill="FDE9D9"/>
                  <w:noWrap/>
                  <w:vAlign w:val="center"/>
                  <w:hideMark/>
                </w:tcPr>
                <w:p w14:paraId="1C57A2B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4.20 </w:t>
                  </w:r>
                </w:p>
              </w:tc>
              <w:tc>
                <w:tcPr>
                  <w:tcW w:w="899" w:type="dxa"/>
                  <w:tcBorders>
                    <w:top w:val="nil"/>
                    <w:left w:val="nil"/>
                    <w:bottom w:val="single" w:sz="8" w:space="0" w:color="FFFFFF"/>
                    <w:right w:val="single" w:sz="8" w:space="0" w:color="FFFFFF"/>
                  </w:tcBorders>
                  <w:shd w:val="clear" w:color="000000" w:fill="FDE9D9"/>
                  <w:noWrap/>
                  <w:vAlign w:val="center"/>
                  <w:hideMark/>
                </w:tcPr>
                <w:p w14:paraId="6909DDD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4.54 </w:t>
                  </w:r>
                </w:p>
              </w:tc>
              <w:tc>
                <w:tcPr>
                  <w:tcW w:w="898" w:type="dxa"/>
                  <w:tcBorders>
                    <w:top w:val="nil"/>
                    <w:left w:val="nil"/>
                    <w:bottom w:val="single" w:sz="8" w:space="0" w:color="FFFFFF"/>
                    <w:right w:val="single" w:sz="8" w:space="0" w:color="FFFFFF"/>
                  </w:tcBorders>
                  <w:shd w:val="clear" w:color="000000" w:fill="FDE9D9"/>
                  <w:noWrap/>
                  <w:vAlign w:val="center"/>
                  <w:hideMark/>
                </w:tcPr>
                <w:p w14:paraId="3A910E2C"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6.98 </w:t>
                  </w:r>
                </w:p>
              </w:tc>
              <w:tc>
                <w:tcPr>
                  <w:tcW w:w="1127" w:type="dxa"/>
                  <w:tcBorders>
                    <w:top w:val="nil"/>
                    <w:left w:val="nil"/>
                    <w:bottom w:val="single" w:sz="8" w:space="0" w:color="FFFFFF"/>
                    <w:right w:val="single" w:sz="8" w:space="0" w:color="FFFFFF"/>
                  </w:tcBorders>
                  <w:shd w:val="clear" w:color="000000" w:fill="FDE9D9"/>
                  <w:noWrap/>
                  <w:vAlign w:val="center"/>
                  <w:hideMark/>
                </w:tcPr>
                <w:p w14:paraId="69D9923C"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5Y</w:t>
                  </w:r>
                </w:p>
              </w:tc>
              <w:tc>
                <w:tcPr>
                  <w:tcW w:w="898" w:type="dxa"/>
                  <w:tcBorders>
                    <w:top w:val="nil"/>
                    <w:left w:val="nil"/>
                    <w:bottom w:val="single" w:sz="8" w:space="0" w:color="FFFFFF"/>
                    <w:right w:val="single" w:sz="8" w:space="0" w:color="FFFFFF"/>
                  </w:tcBorders>
                  <w:shd w:val="clear" w:color="000000" w:fill="FDE9D9"/>
                  <w:noWrap/>
                  <w:vAlign w:val="center"/>
                  <w:hideMark/>
                </w:tcPr>
                <w:p w14:paraId="5ACC0959"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0.87 </w:t>
                  </w:r>
                </w:p>
              </w:tc>
              <w:tc>
                <w:tcPr>
                  <w:tcW w:w="898" w:type="dxa"/>
                  <w:tcBorders>
                    <w:top w:val="nil"/>
                    <w:left w:val="nil"/>
                    <w:bottom w:val="single" w:sz="8" w:space="0" w:color="FFFFFF"/>
                    <w:right w:val="single" w:sz="8" w:space="0" w:color="FFFFFF"/>
                  </w:tcBorders>
                  <w:shd w:val="clear" w:color="000000" w:fill="FDE9D9"/>
                  <w:noWrap/>
                  <w:vAlign w:val="center"/>
                  <w:hideMark/>
                </w:tcPr>
                <w:p w14:paraId="608F7758"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1.20 </w:t>
                  </w:r>
                </w:p>
              </w:tc>
              <w:tc>
                <w:tcPr>
                  <w:tcW w:w="898" w:type="dxa"/>
                  <w:tcBorders>
                    <w:top w:val="nil"/>
                    <w:left w:val="nil"/>
                    <w:bottom w:val="single" w:sz="8" w:space="0" w:color="FFFFFF"/>
                    <w:right w:val="single" w:sz="8" w:space="0" w:color="FFFFFF"/>
                  </w:tcBorders>
                  <w:shd w:val="clear" w:color="000000" w:fill="FDE9D9"/>
                  <w:noWrap/>
                  <w:vAlign w:val="center"/>
                  <w:hideMark/>
                </w:tcPr>
                <w:p w14:paraId="7AE246E7"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1.54 </w:t>
                  </w:r>
                </w:p>
              </w:tc>
              <w:tc>
                <w:tcPr>
                  <w:tcW w:w="898" w:type="dxa"/>
                  <w:tcBorders>
                    <w:top w:val="nil"/>
                    <w:left w:val="nil"/>
                    <w:bottom w:val="single" w:sz="8" w:space="0" w:color="FFFFFF"/>
                    <w:right w:val="single" w:sz="8" w:space="0" w:color="FFFFFF"/>
                  </w:tcBorders>
                  <w:shd w:val="clear" w:color="000000" w:fill="FDE9D9"/>
                  <w:noWrap/>
                  <w:vAlign w:val="center"/>
                  <w:hideMark/>
                </w:tcPr>
                <w:p w14:paraId="55C7074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3.98 </w:t>
                  </w:r>
                </w:p>
              </w:tc>
            </w:tr>
            <w:tr w:rsidR="00A917BC" w:rsidRPr="00A917BC" w14:paraId="4F65FD23" w14:textId="77777777" w:rsidTr="00A917BC">
              <w:trPr>
                <w:trHeight w:val="290"/>
              </w:trPr>
              <w:tc>
                <w:tcPr>
                  <w:tcW w:w="1325" w:type="dxa"/>
                  <w:tcBorders>
                    <w:top w:val="nil"/>
                    <w:left w:val="nil"/>
                    <w:bottom w:val="nil"/>
                    <w:right w:val="nil"/>
                  </w:tcBorders>
                  <w:shd w:val="clear" w:color="000000" w:fill="FCD5B4"/>
                  <w:noWrap/>
                  <w:vAlign w:val="center"/>
                  <w:hideMark/>
                </w:tcPr>
                <w:p w14:paraId="4955D110"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7Y</w:t>
                  </w:r>
                </w:p>
              </w:tc>
              <w:tc>
                <w:tcPr>
                  <w:tcW w:w="898" w:type="dxa"/>
                  <w:tcBorders>
                    <w:top w:val="nil"/>
                    <w:left w:val="nil"/>
                    <w:bottom w:val="single" w:sz="8" w:space="0" w:color="FFFFFF"/>
                    <w:right w:val="single" w:sz="8" w:space="0" w:color="FFFFFF"/>
                  </w:tcBorders>
                  <w:shd w:val="clear" w:color="000000" w:fill="FCD5B4"/>
                  <w:noWrap/>
                  <w:vAlign w:val="center"/>
                  <w:hideMark/>
                </w:tcPr>
                <w:p w14:paraId="7C4226CE"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4.05 </w:t>
                  </w:r>
                </w:p>
              </w:tc>
              <w:tc>
                <w:tcPr>
                  <w:tcW w:w="899" w:type="dxa"/>
                  <w:tcBorders>
                    <w:top w:val="nil"/>
                    <w:left w:val="nil"/>
                    <w:bottom w:val="single" w:sz="8" w:space="0" w:color="FFFFFF"/>
                    <w:right w:val="single" w:sz="8" w:space="0" w:color="FFFFFF"/>
                  </w:tcBorders>
                  <w:shd w:val="clear" w:color="000000" w:fill="FCD5B4"/>
                  <w:noWrap/>
                  <w:vAlign w:val="center"/>
                  <w:hideMark/>
                </w:tcPr>
                <w:p w14:paraId="10D79E6E"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4.39 </w:t>
                  </w:r>
                </w:p>
              </w:tc>
              <w:tc>
                <w:tcPr>
                  <w:tcW w:w="899" w:type="dxa"/>
                  <w:tcBorders>
                    <w:top w:val="nil"/>
                    <w:left w:val="nil"/>
                    <w:bottom w:val="single" w:sz="8" w:space="0" w:color="FFFFFF"/>
                    <w:right w:val="single" w:sz="8" w:space="0" w:color="FFFFFF"/>
                  </w:tcBorders>
                  <w:shd w:val="clear" w:color="000000" w:fill="FCD5B4"/>
                  <w:noWrap/>
                  <w:vAlign w:val="center"/>
                  <w:hideMark/>
                </w:tcPr>
                <w:p w14:paraId="3AE5A38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4.75 </w:t>
                  </w:r>
                </w:p>
              </w:tc>
              <w:tc>
                <w:tcPr>
                  <w:tcW w:w="898" w:type="dxa"/>
                  <w:tcBorders>
                    <w:top w:val="nil"/>
                    <w:left w:val="nil"/>
                    <w:bottom w:val="single" w:sz="8" w:space="0" w:color="FFFFFF"/>
                    <w:right w:val="single" w:sz="8" w:space="0" w:color="FFFFFF"/>
                  </w:tcBorders>
                  <w:shd w:val="clear" w:color="000000" w:fill="FCD5B4"/>
                  <w:noWrap/>
                  <w:vAlign w:val="center"/>
                  <w:hideMark/>
                </w:tcPr>
                <w:p w14:paraId="16BF230D"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7.30 </w:t>
                  </w:r>
                </w:p>
              </w:tc>
              <w:tc>
                <w:tcPr>
                  <w:tcW w:w="1127" w:type="dxa"/>
                  <w:tcBorders>
                    <w:top w:val="nil"/>
                    <w:left w:val="nil"/>
                    <w:bottom w:val="nil"/>
                    <w:right w:val="nil"/>
                  </w:tcBorders>
                  <w:shd w:val="clear" w:color="000000" w:fill="FCD5B4"/>
                  <w:noWrap/>
                  <w:vAlign w:val="center"/>
                  <w:hideMark/>
                </w:tcPr>
                <w:p w14:paraId="3DB05542"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7Y</w:t>
                  </w:r>
                </w:p>
              </w:tc>
              <w:tc>
                <w:tcPr>
                  <w:tcW w:w="898" w:type="dxa"/>
                  <w:tcBorders>
                    <w:top w:val="nil"/>
                    <w:left w:val="nil"/>
                    <w:bottom w:val="single" w:sz="8" w:space="0" w:color="FFFFFF"/>
                    <w:right w:val="single" w:sz="8" w:space="0" w:color="FFFFFF"/>
                  </w:tcBorders>
                  <w:shd w:val="clear" w:color="000000" w:fill="FCD5B4"/>
                  <w:noWrap/>
                  <w:vAlign w:val="center"/>
                  <w:hideMark/>
                </w:tcPr>
                <w:p w14:paraId="30C38CE9"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0.87 </w:t>
                  </w:r>
                </w:p>
              </w:tc>
              <w:tc>
                <w:tcPr>
                  <w:tcW w:w="898" w:type="dxa"/>
                  <w:tcBorders>
                    <w:top w:val="nil"/>
                    <w:left w:val="nil"/>
                    <w:bottom w:val="single" w:sz="8" w:space="0" w:color="FFFFFF"/>
                    <w:right w:val="single" w:sz="8" w:space="0" w:color="FFFFFF"/>
                  </w:tcBorders>
                  <w:shd w:val="clear" w:color="000000" w:fill="FCD5B4"/>
                  <w:noWrap/>
                  <w:vAlign w:val="center"/>
                  <w:hideMark/>
                </w:tcPr>
                <w:p w14:paraId="5901888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1.21 </w:t>
                  </w:r>
                </w:p>
              </w:tc>
              <w:tc>
                <w:tcPr>
                  <w:tcW w:w="898" w:type="dxa"/>
                  <w:tcBorders>
                    <w:top w:val="nil"/>
                    <w:left w:val="nil"/>
                    <w:bottom w:val="single" w:sz="8" w:space="0" w:color="FFFFFF"/>
                    <w:right w:val="single" w:sz="8" w:space="0" w:color="FFFFFF"/>
                  </w:tcBorders>
                  <w:shd w:val="clear" w:color="000000" w:fill="FCD5B4"/>
                  <w:noWrap/>
                  <w:vAlign w:val="center"/>
                  <w:hideMark/>
                </w:tcPr>
                <w:p w14:paraId="2ADEB01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1.57 </w:t>
                  </w:r>
                </w:p>
              </w:tc>
              <w:tc>
                <w:tcPr>
                  <w:tcW w:w="898" w:type="dxa"/>
                  <w:tcBorders>
                    <w:top w:val="nil"/>
                    <w:left w:val="nil"/>
                    <w:bottom w:val="single" w:sz="8" w:space="0" w:color="FFFFFF"/>
                    <w:right w:val="single" w:sz="8" w:space="0" w:color="FFFFFF"/>
                  </w:tcBorders>
                  <w:shd w:val="clear" w:color="000000" w:fill="FCD5B4"/>
                  <w:noWrap/>
                  <w:vAlign w:val="center"/>
                  <w:hideMark/>
                </w:tcPr>
                <w:p w14:paraId="3C16BD39"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4.12 </w:t>
                  </w:r>
                </w:p>
              </w:tc>
            </w:tr>
            <w:tr w:rsidR="00A917BC" w:rsidRPr="00A917BC" w14:paraId="55B965D8" w14:textId="77777777" w:rsidTr="00A917BC">
              <w:trPr>
                <w:trHeight w:val="290"/>
              </w:trPr>
              <w:tc>
                <w:tcPr>
                  <w:tcW w:w="1325" w:type="dxa"/>
                  <w:tcBorders>
                    <w:top w:val="nil"/>
                    <w:left w:val="nil"/>
                    <w:bottom w:val="single" w:sz="12" w:space="0" w:color="FFFFFF"/>
                    <w:right w:val="single" w:sz="8" w:space="0" w:color="FFFFFF"/>
                  </w:tcBorders>
                  <w:shd w:val="clear" w:color="000000" w:fill="F79646"/>
                  <w:noWrap/>
                  <w:vAlign w:val="center"/>
                  <w:hideMark/>
                </w:tcPr>
                <w:p w14:paraId="64C7BC4C" w14:textId="77777777" w:rsidR="00A917BC" w:rsidRPr="00A917BC" w:rsidRDefault="00A917BC" w:rsidP="00A917BC">
                  <w:pPr>
                    <w:widowControl/>
                    <w:jc w:val="center"/>
                    <w:rPr>
                      <w:rFonts w:ascii="楷体" w:eastAsia="楷体" w:hAnsi="楷体" w:cs="宋体"/>
                      <w:b/>
                      <w:bCs/>
                      <w:color w:val="FFFFFF"/>
                      <w:kern w:val="0"/>
                      <w:sz w:val="20"/>
                      <w:szCs w:val="20"/>
                    </w:rPr>
                  </w:pPr>
                  <w:proofErr w:type="gramStart"/>
                  <w:r w:rsidRPr="00A917BC">
                    <w:rPr>
                      <w:rFonts w:ascii="楷体" w:eastAsia="楷体" w:hAnsi="楷体" w:cs="宋体" w:hint="eastAsia"/>
                      <w:b/>
                      <w:bCs/>
                      <w:color w:val="FFFFFF"/>
                      <w:kern w:val="0"/>
                      <w:sz w:val="20"/>
                      <w:szCs w:val="20"/>
                    </w:rPr>
                    <w:t>周变化</w:t>
                  </w:r>
                  <w:proofErr w:type="gramEnd"/>
                  <w:r w:rsidRPr="00A917BC">
                    <w:rPr>
                      <w:rFonts w:ascii="楷体" w:eastAsia="楷体" w:hAnsi="楷体" w:cs="宋体" w:hint="eastAsia"/>
                      <w:b/>
                      <w:bCs/>
                      <w:color w:val="FFFFFF"/>
                      <w:kern w:val="0"/>
                      <w:sz w:val="20"/>
                      <w:szCs w:val="20"/>
                    </w:rPr>
                    <w:t>(BP)</w:t>
                  </w:r>
                </w:p>
              </w:tc>
              <w:tc>
                <w:tcPr>
                  <w:tcW w:w="898" w:type="dxa"/>
                  <w:tcBorders>
                    <w:top w:val="nil"/>
                    <w:left w:val="nil"/>
                    <w:bottom w:val="single" w:sz="12" w:space="0" w:color="FFFFFF"/>
                    <w:right w:val="single" w:sz="8" w:space="0" w:color="FFFFFF"/>
                  </w:tcBorders>
                  <w:shd w:val="clear" w:color="000000" w:fill="F79646"/>
                  <w:noWrap/>
                  <w:vAlign w:val="center"/>
                  <w:hideMark/>
                </w:tcPr>
                <w:p w14:paraId="5D8F9104"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67BB2563"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11962620"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48416753"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c>
                <w:tcPr>
                  <w:tcW w:w="1127" w:type="dxa"/>
                  <w:tcBorders>
                    <w:top w:val="nil"/>
                    <w:left w:val="nil"/>
                    <w:bottom w:val="single" w:sz="12" w:space="0" w:color="FFFFFF"/>
                    <w:right w:val="single" w:sz="8" w:space="0" w:color="FFFFFF"/>
                  </w:tcBorders>
                  <w:shd w:val="clear" w:color="000000" w:fill="F79646"/>
                  <w:noWrap/>
                  <w:vAlign w:val="center"/>
                  <w:hideMark/>
                </w:tcPr>
                <w:p w14:paraId="1025C2DB"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息差</w:t>
                  </w:r>
                </w:p>
              </w:tc>
              <w:tc>
                <w:tcPr>
                  <w:tcW w:w="898" w:type="dxa"/>
                  <w:tcBorders>
                    <w:top w:val="nil"/>
                    <w:left w:val="nil"/>
                    <w:bottom w:val="single" w:sz="12" w:space="0" w:color="FFFFFF"/>
                    <w:right w:val="single" w:sz="8" w:space="0" w:color="FFFFFF"/>
                  </w:tcBorders>
                  <w:shd w:val="clear" w:color="000000" w:fill="F79646"/>
                  <w:noWrap/>
                  <w:vAlign w:val="center"/>
                  <w:hideMark/>
                </w:tcPr>
                <w:p w14:paraId="13B10E06"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AAA</w:t>
                  </w:r>
                </w:p>
              </w:tc>
              <w:tc>
                <w:tcPr>
                  <w:tcW w:w="898" w:type="dxa"/>
                  <w:tcBorders>
                    <w:top w:val="nil"/>
                    <w:left w:val="nil"/>
                    <w:bottom w:val="single" w:sz="12" w:space="0" w:color="FFFFFF"/>
                    <w:right w:val="single" w:sz="8" w:space="0" w:color="FFFFFF"/>
                  </w:tcBorders>
                  <w:shd w:val="clear" w:color="000000" w:fill="F79646"/>
                  <w:noWrap/>
                  <w:vAlign w:val="center"/>
                  <w:hideMark/>
                </w:tcPr>
                <w:p w14:paraId="0A73B414"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13D02A13"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33EAE755"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r>
            <w:tr w:rsidR="00A917BC" w:rsidRPr="00A917BC" w14:paraId="372DB737" w14:textId="77777777" w:rsidTr="00A917BC">
              <w:trPr>
                <w:trHeight w:val="300"/>
              </w:trPr>
              <w:tc>
                <w:tcPr>
                  <w:tcW w:w="1325" w:type="dxa"/>
                  <w:tcBorders>
                    <w:top w:val="nil"/>
                    <w:left w:val="nil"/>
                    <w:bottom w:val="single" w:sz="8" w:space="0" w:color="FFFFFF"/>
                    <w:right w:val="single" w:sz="8" w:space="0" w:color="FFFFFF"/>
                  </w:tcBorders>
                  <w:shd w:val="clear" w:color="000000" w:fill="FCD5B4"/>
                  <w:noWrap/>
                  <w:vAlign w:val="center"/>
                  <w:hideMark/>
                </w:tcPr>
                <w:p w14:paraId="4484F1A0"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CP</w:t>
                  </w:r>
                </w:p>
              </w:tc>
              <w:tc>
                <w:tcPr>
                  <w:tcW w:w="898" w:type="dxa"/>
                  <w:tcBorders>
                    <w:top w:val="nil"/>
                    <w:left w:val="nil"/>
                    <w:bottom w:val="single" w:sz="8" w:space="0" w:color="FFFFFF"/>
                    <w:right w:val="single" w:sz="8" w:space="0" w:color="FFFFFF"/>
                  </w:tcBorders>
                  <w:shd w:val="clear" w:color="000000" w:fill="FCD5B4"/>
                  <w:noWrap/>
                  <w:vAlign w:val="center"/>
                  <w:hideMark/>
                </w:tcPr>
                <w:p w14:paraId="3B365F04"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30.0 </w:t>
                  </w:r>
                </w:p>
              </w:tc>
              <w:tc>
                <w:tcPr>
                  <w:tcW w:w="899" w:type="dxa"/>
                  <w:tcBorders>
                    <w:top w:val="nil"/>
                    <w:left w:val="nil"/>
                    <w:bottom w:val="single" w:sz="8" w:space="0" w:color="FFFFFF"/>
                    <w:right w:val="single" w:sz="8" w:space="0" w:color="FFFFFF"/>
                  </w:tcBorders>
                  <w:shd w:val="clear" w:color="000000" w:fill="FCD5B4"/>
                  <w:noWrap/>
                  <w:vAlign w:val="center"/>
                  <w:hideMark/>
                </w:tcPr>
                <w:p w14:paraId="2FE7F8C4"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25.0 </w:t>
                  </w:r>
                </w:p>
              </w:tc>
              <w:tc>
                <w:tcPr>
                  <w:tcW w:w="899" w:type="dxa"/>
                  <w:tcBorders>
                    <w:top w:val="nil"/>
                    <w:left w:val="nil"/>
                    <w:bottom w:val="single" w:sz="8" w:space="0" w:color="FFFFFF"/>
                    <w:right w:val="single" w:sz="8" w:space="0" w:color="FFFFFF"/>
                  </w:tcBorders>
                  <w:shd w:val="clear" w:color="000000" w:fill="FCD5B4"/>
                  <w:noWrap/>
                  <w:vAlign w:val="center"/>
                  <w:hideMark/>
                </w:tcPr>
                <w:p w14:paraId="713F48A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21.0 </w:t>
                  </w:r>
                </w:p>
              </w:tc>
              <w:tc>
                <w:tcPr>
                  <w:tcW w:w="898" w:type="dxa"/>
                  <w:tcBorders>
                    <w:top w:val="nil"/>
                    <w:left w:val="nil"/>
                    <w:bottom w:val="single" w:sz="8" w:space="0" w:color="FFFFFF"/>
                    <w:right w:val="single" w:sz="8" w:space="0" w:color="FFFFFF"/>
                  </w:tcBorders>
                  <w:shd w:val="clear" w:color="000000" w:fill="FCD5B4"/>
                  <w:noWrap/>
                  <w:vAlign w:val="center"/>
                  <w:hideMark/>
                </w:tcPr>
                <w:p w14:paraId="23D2F328"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21.0 </w:t>
                  </w:r>
                </w:p>
              </w:tc>
              <w:tc>
                <w:tcPr>
                  <w:tcW w:w="1127" w:type="dxa"/>
                  <w:tcBorders>
                    <w:top w:val="nil"/>
                    <w:left w:val="nil"/>
                    <w:bottom w:val="single" w:sz="8" w:space="0" w:color="FFFFFF"/>
                    <w:right w:val="single" w:sz="8" w:space="0" w:color="FFFFFF"/>
                  </w:tcBorders>
                  <w:shd w:val="clear" w:color="000000" w:fill="FCD5B4"/>
                  <w:noWrap/>
                  <w:vAlign w:val="center"/>
                  <w:hideMark/>
                </w:tcPr>
                <w:p w14:paraId="6EC6F9E7"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CP</w:t>
                  </w:r>
                </w:p>
              </w:tc>
              <w:tc>
                <w:tcPr>
                  <w:tcW w:w="898" w:type="dxa"/>
                  <w:tcBorders>
                    <w:top w:val="nil"/>
                    <w:left w:val="nil"/>
                    <w:bottom w:val="single" w:sz="8" w:space="0" w:color="FFFFFF"/>
                    <w:right w:val="single" w:sz="8" w:space="0" w:color="FFFFFF"/>
                  </w:tcBorders>
                  <w:shd w:val="clear" w:color="000000" w:fill="FCD5B4"/>
                  <w:noWrap/>
                  <w:vAlign w:val="center"/>
                  <w:hideMark/>
                </w:tcPr>
                <w:p w14:paraId="626E11D8"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7.2 </w:t>
                  </w:r>
                </w:p>
              </w:tc>
              <w:tc>
                <w:tcPr>
                  <w:tcW w:w="898" w:type="dxa"/>
                  <w:tcBorders>
                    <w:top w:val="nil"/>
                    <w:left w:val="nil"/>
                    <w:bottom w:val="single" w:sz="8" w:space="0" w:color="FFFFFF"/>
                    <w:right w:val="single" w:sz="8" w:space="0" w:color="FFFFFF"/>
                  </w:tcBorders>
                  <w:shd w:val="clear" w:color="000000" w:fill="FCD5B4"/>
                  <w:noWrap/>
                  <w:vAlign w:val="center"/>
                  <w:hideMark/>
                </w:tcPr>
                <w:p w14:paraId="33AF8048"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2.2 </w:t>
                  </w:r>
                </w:p>
              </w:tc>
              <w:tc>
                <w:tcPr>
                  <w:tcW w:w="898" w:type="dxa"/>
                  <w:tcBorders>
                    <w:top w:val="nil"/>
                    <w:left w:val="nil"/>
                    <w:bottom w:val="single" w:sz="8" w:space="0" w:color="FFFFFF"/>
                    <w:right w:val="single" w:sz="8" w:space="0" w:color="FFFFFF"/>
                  </w:tcBorders>
                  <w:shd w:val="clear" w:color="000000" w:fill="FCD5B4"/>
                  <w:noWrap/>
                  <w:vAlign w:val="center"/>
                  <w:hideMark/>
                </w:tcPr>
                <w:p w14:paraId="6ED92AD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-1.8 </w:t>
                  </w:r>
                </w:p>
              </w:tc>
              <w:tc>
                <w:tcPr>
                  <w:tcW w:w="898" w:type="dxa"/>
                  <w:tcBorders>
                    <w:top w:val="nil"/>
                    <w:left w:val="nil"/>
                    <w:bottom w:val="single" w:sz="8" w:space="0" w:color="FFFFFF"/>
                    <w:right w:val="single" w:sz="8" w:space="0" w:color="FFFFFF"/>
                  </w:tcBorders>
                  <w:shd w:val="clear" w:color="000000" w:fill="FCD5B4"/>
                  <w:noWrap/>
                  <w:vAlign w:val="center"/>
                  <w:hideMark/>
                </w:tcPr>
                <w:p w14:paraId="1C4C538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-1.8 </w:t>
                  </w:r>
                </w:p>
              </w:tc>
            </w:tr>
            <w:tr w:rsidR="00A917BC" w:rsidRPr="00A917BC" w14:paraId="60D55F09" w14:textId="77777777" w:rsidTr="00A917BC">
              <w:trPr>
                <w:trHeight w:val="290"/>
              </w:trPr>
              <w:tc>
                <w:tcPr>
                  <w:tcW w:w="1325" w:type="dxa"/>
                  <w:tcBorders>
                    <w:top w:val="nil"/>
                    <w:left w:val="nil"/>
                    <w:bottom w:val="single" w:sz="8" w:space="0" w:color="FFFFFF"/>
                    <w:right w:val="single" w:sz="8" w:space="0" w:color="FFFFFF"/>
                  </w:tcBorders>
                  <w:shd w:val="clear" w:color="000000" w:fill="FDE9D9"/>
                  <w:noWrap/>
                  <w:vAlign w:val="center"/>
                  <w:hideMark/>
                </w:tcPr>
                <w:p w14:paraId="6FDA89E7"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MTN3Y</w:t>
                  </w:r>
                </w:p>
              </w:tc>
              <w:tc>
                <w:tcPr>
                  <w:tcW w:w="898" w:type="dxa"/>
                  <w:tcBorders>
                    <w:top w:val="nil"/>
                    <w:left w:val="nil"/>
                    <w:bottom w:val="single" w:sz="8" w:space="0" w:color="FFFFFF"/>
                    <w:right w:val="single" w:sz="8" w:space="0" w:color="FFFFFF"/>
                  </w:tcBorders>
                  <w:shd w:val="clear" w:color="000000" w:fill="FDE9D9"/>
                  <w:noWrap/>
                  <w:vAlign w:val="center"/>
                  <w:hideMark/>
                </w:tcPr>
                <w:p w14:paraId="2DE9435A"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13.3 </w:t>
                  </w:r>
                </w:p>
              </w:tc>
              <w:tc>
                <w:tcPr>
                  <w:tcW w:w="899" w:type="dxa"/>
                  <w:tcBorders>
                    <w:top w:val="nil"/>
                    <w:left w:val="nil"/>
                    <w:bottom w:val="single" w:sz="8" w:space="0" w:color="FFFFFF"/>
                    <w:right w:val="single" w:sz="8" w:space="0" w:color="FFFFFF"/>
                  </w:tcBorders>
                  <w:shd w:val="clear" w:color="000000" w:fill="FDE9D9"/>
                  <w:noWrap/>
                  <w:vAlign w:val="center"/>
                  <w:hideMark/>
                </w:tcPr>
                <w:p w14:paraId="68C9A4D7"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9.3 </w:t>
                  </w:r>
                </w:p>
              </w:tc>
              <w:tc>
                <w:tcPr>
                  <w:tcW w:w="899" w:type="dxa"/>
                  <w:tcBorders>
                    <w:top w:val="nil"/>
                    <w:left w:val="nil"/>
                    <w:bottom w:val="single" w:sz="8" w:space="0" w:color="FFFFFF"/>
                    <w:right w:val="single" w:sz="8" w:space="0" w:color="FFFFFF"/>
                  </w:tcBorders>
                  <w:shd w:val="clear" w:color="000000" w:fill="FDE9D9"/>
                  <w:noWrap/>
                  <w:vAlign w:val="center"/>
                  <w:hideMark/>
                </w:tcPr>
                <w:p w14:paraId="1AC5C172"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8.3 </w:t>
                  </w:r>
                </w:p>
              </w:tc>
              <w:tc>
                <w:tcPr>
                  <w:tcW w:w="898" w:type="dxa"/>
                  <w:tcBorders>
                    <w:top w:val="nil"/>
                    <w:left w:val="nil"/>
                    <w:bottom w:val="single" w:sz="8" w:space="0" w:color="FFFFFF"/>
                    <w:right w:val="single" w:sz="8" w:space="0" w:color="FFFFFF"/>
                  </w:tcBorders>
                  <w:shd w:val="clear" w:color="000000" w:fill="FDE9D9"/>
                  <w:noWrap/>
                  <w:vAlign w:val="center"/>
                  <w:hideMark/>
                </w:tcPr>
                <w:p w14:paraId="2F9AF72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8.3 </w:t>
                  </w:r>
                </w:p>
              </w:tc>
              <w:tc>
                <w:tcPr>
                  <w:tcW w:w="1127" w:type="dxa"/>
                  <w:tcBorders>
                    <w:top w:val="nil"/>
                    <w:left w:val="nil"/>
                    <w:bottom w:val="single" w:sz="8" w:space="0" w:color="FFFFFF"/>
                    <w:right w:val="single" w:sz="8" w:space="0" w:color="FFFFFF"/>
                  </w:tcBorders>
                  <w:shd w:val="clear" w:color="000000" w:fill="FDE9D9"/>
                  <w:noWrap/>
                  <w:vAlign w:val="center"/>
                  <w:hideMark/>
                </w:tcPr>
                <w:p w14:paraId="67074FC1"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MTN3Y</w:t>
                  </w:r>
                </w:p>
              </w:tc>
              <w:tc>
                <w:tcPr>
                  <w:tcW w:w="898" w:type="dxa"/>
                  <w:tcBorders>
                    <w:top w:val="nil"/>
                    <w:left w:val="nil"/>
                    <w:bottom w:val="single" w:sz="8" w:space="0" w:color="FFFFFF"/>
                    <w:right w:val="single" w:sz="8" w:space="0" w:color="FFFFFF"/>
                  </w:tcBorders>
                  <w:shd w:val="clear" w:color="000000" w:fill="FDE9D9"/>
                  <w:noWrap/>
                  <w:vAlign w:val="center"/>
                  <w:hideMark/>
                </w:tcPr>
                <w:p w14:paraId="1E8B83BF"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1.3 </w:t>
                  </w:r>
                </w:p>
              </w:tc>
              <w:tc>
                <w:tcPr>
                  <w:tcW w:w="898" w:type="dxa"/>
                  <w:tcBorders>
                    <w:top w:val="nil"/>
                    <w:left w:val="nil"/>
                    <w:bottom w:val="single" w:sz="8" w:space="0" w:color="FFFFFF"/>
                    <w:right w:val="single" w:sz="8" w:space="0" w:color="FFFFFF"/>
                  </w:tcBorders>
                  <w:shd w:val="clear" w:color="000000" w:fill="FDE9D9"/>
                  <w:noWrap/>
                  <w:vAlign w:val="center"/>
                  <w:hideMark/>
                </w:tcPr>
                <w:p w14:paraId="6949E7B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-2.8 </w:t>
                  </w:r>
                </w:p>
              </w:tc>
              <w:tc>
                <w:tcPr>
                  <w:tcW w:w="898" w:type="dxa"/>
                  <w:tcBorders>
                    <w:top w:val="nil"/>
                    <w:left w:val="nil"/>
                    <w:bottom w:val="single" w:sz="8" w:space="0" w:color="FFFFFF"/>
                    <w:right w:val="single" w:sz="8" w:space="0" w:color="FFFFFF"/>
                  </w:tcBorders>
                  <w:shd w:val="clear" w:color="000000" w:fill="FDE9D9"/>
                  <w:noWrap/>
                  <w:vAlign w:val="center"/>
                  <w:hideMark/>
                </w:tcPr>
                <w:p w14:paraId="534A38B5"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-3.8 </w:t>
                  </w:r>
                </w:p>
              </w:tc>
              <w:tc>
                <w:tcPr>
                  <w:tcW w:w="898" w:type="dxa"/>
                  <w:tcBorders>
                    <w:top w:val="nil"/>
                    <w:left w:val="nil"/>
                    <w:bottom w:val="single" w:sz="8" w:space="0" w:color="FFFFFF"/>
                    <w:right w:val="single" w:sz="8" w:space="0" w:color="FFFFFF"/>
                  </w:tcBorders>
                  <w:shd w:val="clear" w:color="000000" w:fill="FDE9D9"/>
                  <w:noWrap/>
                  <w:vAlign w:val="center"/>
                  <w:hideMark/>
                </w:tcPr>
                <w:p w14:paraId="616E559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-3.8 </w:t>
                  </w:r>
                </w:p>
              </w:tc>
            </w:tr>
            <w:tr w:rsidR="00A917BC" w:rsidRPr="00A917BC" w14:paraId="1AB49F68" w14:textId="77777777" w:rsidTr="00A917BC">
              <w:trPr>
                <w:trHeight w:val="290"/>
              </w:trPr>
              <w:tc>
                <w:tcPr>
                  <w:tcW w:w="1325" w:type="dxa"/>
                  <w:tcBorders>
                    <w:top w:val="nil"/>
                    <w:left w:val="nil"/>
                    <w:bottom w:val="single" w:sz="8" w:space="0" w:color="FFFFFF"/>
                    <w:right w:val="single" w:sz="8" w:space="0" w:color="FFFFFF"/>
                  </w:tcBorders>
                  <w:shd w:val="clear" w:color="000000" w:fill="FCD5B4"/>
                  <w:noWrap/>
                  <w:vAlign w:val="center"/>
                  <w:hideMark/>
                </w:tcPr>
                <w:p w14:paraId="74ABC16B"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MTN5Y</w:t>
                  </w:r>
                </w:p>
              </w:tc>
              <w:tc>
                <w:tcPr>
                  <w:tcW w:w="898" w:type="dxa"/>
                  <w:tcBorders>
                    <w:top w:val="nil"/>
                    <w:left w:val="nil"/>
                    <w:bottom w:val="single" w:sz="8" w:space="0" w:color="FFFFFF"/>
                    <w:right w:val="single" w:sz="8" w:space="0" w:color="FFFFFF"/>
                  </w:tcBorders>
                  <w:shd w:val="clear" w:color="000000" w:fill="FCD5B4"/>
                  <w:noWrap/>
                  <w:vAlign w:val="center"/>
                  <w:hideMark/>
                </w:tcPr>
                <w:p w14:paraId="7C282E5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11.6 </w:t>
                  </w:r>
                </w:p>
              </w:tc>
              <w:tc>
                <w:tcPr>
                  <w:tcW w:w="899" w:type="dxa"/>
                  <w:tcBorders>
                    <w:top w:val="nil"/>
                    <w:left w:val="nil"/>
                    <w:bottom w:val="single" w:sz="8" w:space="0" w:color="FFFFFF"/>
                    <w:right w:val="single" w:sz="8" w:space="0" w:color="FFFFFF"/>
                  </w:tcBorders>
                  <w:shd w:val="clear" w:color="000000" w:fill="FCD5B4"/>
                  <w:noWrap/>
                  <w:vAlign w:val="center"/>
                  <w:hideMark/>
                </w:tcPr>
                <w:p w14:paraId="2C85AA6D"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0.6 </w:t>
                  </w:r>
                </w:p>
              </w:tc>
              <w:tc>
                <w:tcPr>
                  <w:tcW w:w="899" w:type="dxa"/>
                  <w:tcBorders>
                    <w:top w:val="nil"/>
                    <w:left w:val="nil"/>
                    <w:bottom w:val="single" w:sz="8" w:space="0" w:color="FFFFFF"/>
                    <w:right w:val="single" w:sz="8" w:space="0" w:color="FFFFFF"/>
                  </w:tcBorders>
                  <w:shd w:val="clear" w:color="000000" w:fill="FCD5B4"/>
                  <w:noWrap/>
                  <w:vAlign w:val="center"/>
                  <w:hideMark/>
                </w:tcPr>
                <w:p w14:paraId="1EE7D8B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5.6 </w:t>
                  </w:r>
                </w:p>
              </w:tc>
              <w:tc>
                <w:tcPr>
                  <w:tcW w:w="898" w:type="dxa"/>
                  <w:tcBorders>
                    <w:top w:val="nil"/>
                    <w:left w:val="nil"/>
                    <w:bottom w:val="single" w:sz="8" w:space="0" w:color="FFFFFF"/>
                    <w:right w:val="single" w:sz="8" w:space="0" w:color="FFFFFF"/>
                  </w:tcBorders>
                  <w:shd w:val="clear" w:color="000000" w:fill="FCD5B4"/>
                  <w:noWrap/>
                  <w:vAlign w:val="center"/>
                  <w:hideMark/>
                </w:tcPr>
                <w:p w14:paraId="3F71920A"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5.6 </w:t>
                  </w:r>
                </w:p>
              </w:tc>
              <w:tc>
                <w:tcPr>
                  <w:tcW w:w="1127" w:type="dxa"/>
                  <w:tcBorders>
                    <w:top w:val="nil"/>
                    <w:left w:val="nil"/>
                    <w:bottom w:val="single" w:sz="8" w:space="0" w:color="FFFFFF"/>
                    <w:right w:val="single" w:sz="8" w:space="0" w:color="FFFFFF"/>
                  </w:tcBorders>
                  <w:shd w:val="clear" w:color="000000" w:fill="FCD5B4"/>
                  <w:noWrap/>
                  <w:vAlign w:val="center"/>
                  <w:hideMark/>
                </w:tcPr>
                <w:p w14:paraId="02FC4DE6"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MTN5Y</w:t>
                  </w:r>
                </w:p>
              </w:tc>
              <w:tc>
                <w:tcPr>
                  <w:tcW w:w="898" w:type="dxa"/>
                  <w:tcBorders>
                    <w:top w:val="nil"/>
                    <w:left w:val="nil"/>
                    <w:bottom w:val="single" w:sz="8" w:space="0" w:color="FFFFFF"/>
                    <w:right w:val="single" w:sz="8" w:space="0" w:color="FFFFFF"/>
                  </w:tcBorders>
                  <w:shd w:val="clear" w:color="000000" w:fill="FCD5B4"/>
                  <w:noWrap/>
                  <w:vAlign w:val="center"/>
                  <w:hideMark/>
                </w:tcPr>
                <w:p w14:paraId="24450FE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5.3 </w:t>
                  </w:r>
                </w:p>
              </w:tc>
              <w:tc>
                <w:tcPr>
                  <w:tcW w:w="898" w:type="dxa"/>
                  <w:tcBorders>
                    <w:top w:val="nil"/>
                    <w:left w:val="nil"/>
                    <w:bottom w:val="single" w:sz="8" w:space="0" w:color="FFFFFF"/>
                    <w:right w:val="single" w:sz="8" w:space="0" w:color="FFFFFF"/>
                  </w:tcBorders>
                  <w:shd w:val="clear" w:color="000000" w:fill="FCD5B4"/>
                  <w:noWrap/>
                  <w:vAlign w:val="center"/>
                  <w:hideMark/>
                </w:tcPr>
                <w:p w14:paraId="087EDB5F"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-5.7 </w:t>
                  </w:r>
                </w:p>
              </w:tc>
              <w:tc>
                <w:tcPr>
                  <w:tcW w:w="898" w:type="dxa"/>
                  <w:tcBorders>
                    <w:top w:val="nil"/>
                    <w:left w:val="nil"/>
                    <w:bottom w:val="single" w:sz="8" w:space="0" w:color="FFFFFF"/>
                    <w:right w:val="single" w:sz="8" w:space="0" w:color="FFFFFF"/>
                  </w:tcBorders>
                  <w:shd w:val="clear" w:color="000000" w:fill="FCD5B4"/>
                  <w:noWrap/>
                  <w:vAlign w:val="center"/>
                  <w:hideMark/>
                </w:tcPr>
                <w:p w14:paraId="05B2919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-0.7 </w:t>
                  </w:r>
                </w:p>
              </w:tc>
              <w:tc>
                <w:tcPr>
                  <w:tcW w:w="898" w:type="dxa"/>
                  <w:tcBorders>
                    <w:top w:val="nil"/>
                    <w:left w:val="nil"/>
                    <w:bottom w:val="single" w:sz="8" w:space="0" w:color="FFFFFF"/>
                    <w:right w:val="single" w:sz="8" w:space="0" w:color="FFFFFF"/>
                  </w:tcBorders>
                  <w:shd w:val="clear" w:color="000000" w:fill="FCD5B4"/>
                  <w:noWrap/>
                  <w:vAlign w:val="center"/>
                  <w:hideMark/>
                </w:tcPr>
                <w:p w14:paraId="2E87618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-0.7 </w:t>
                  </w:r>
                </w:p>
              </w:tc>
            </w:tr>
            <w:tr w:rsidR="00A917BC" w:rsidRPr="00A917BC" w14:paraId="4940768D" w14:textId="77777777" w:rsidTr="00A917BC">
              <w:trPr>
                <w:trHeight w:val="290"/>
              </w:trPr>
              <w:tc>
                <w:tcPr>
                  <w:tcW w:w="1325" w:type="dxa"/>
                  <w:tcBorders>
                    <w:top w:val="nil"/>
                    <w:left w:val="nil"/>
                    <w:bottom w:val="single" w:sz="8" w:space="0" w:color="FFFFFF"/>
                    <w:right w:val="single" w:sz="8" w:space="0" w:color="FFFFFF"/>
                  </w:tcBorders>
                  <w:shd w:val="clear" w:color="000000" w:fill="FDE9D9"/>
                  <w:noWrap/>
                  <w:vAlign w:val="center"/>
                  <w:hideMark/>
                </w:tcPr>
                <w:p w14:paraId="1E5410D4"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企业债3Y</w:t>
                  </w:r>
                </w:p>
              </w:tc>
              <w:tc>
                <w:tcPr>
                  <w:tcW w:w="898" w:type="dxa"/>
                  <w:tcBorders>
                    <w:top w:val="nil"/>
                    <w:left w:val="nil"/>
                    <w:bottom w:val="single" w:sz="8" w:space="0" w:color="FFFFFF"/>
                    <w:right w:val="single" w:sz="8" w:space="0" w:color="FFFFFF"/>
                  </w:tcBorders>
                  <w:shd w:val="clear" w:color="000000" w:fill="FDE9D9"/>
                  <w:noWrap/>
                  <w:vAlign w:val="center"/>
                  <w:hideMark/>
                </w:tcPr>
                <w:p w14:paraId="1A1669C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11.0 </w:t>
                  </w:r>
                </w:p>
              </w:tc>
              <w:tc>
                <w:tcPr>
                  <w:tcW w:w="899" w:type="dxa"/>
                  <w:tcBorders>
                    <w:top w:val="nil"/>
                    <w:left w:val="nil"/>
                    <w:bottom w:val="single" w:sz="8" w:space="0" w:color="FFFFFF"/>
                    <w:right w:val="single" w:sz="8" w:space="0" w:color="FFFFFF"/>
                  </w:tcBorders>
                  <w:shd w:val="clear" w:color="000000" w:fill="FDE9D9"/>
                  <w:noWrap/>
                  <w:vAlign w:val="center"/>
                  <w:hideMark/>
                </w:tcPr>
                <w:p w14:paraId="68E4220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12.0 </w:t>
                  </w:r>
                </w:p>
              </w:tc>
              <w:tc>
                <w:tcPr>
                  <w:tcW w:w="899" w:type="dxa"/>
                  <w:tcBorders>
                    <w:top w:val="nil"/>
                    <w:left w:val="nil"/>
                    <w:bottom w:val="single" w:sz="8" w:space="0" w:color="FFFFFF"/>
                    <w:right w:val="single" w:sz="8" w:space="0" w:color="FFFFFF"/>
                  </w:tcBorders>
                  <w:shd w:val="clear" w:color="000000" w:fill="FDE9D9"/>
                  <w:noWrap/>
                  <w:vAlign w:val="center"/>
                  <w:hideMark/>
                </w:tcPr>
                <w:p w14:paraId="12FA254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8.0 </w:t>
                  </w:r>
                </w:p>
              </w:tc>
              <w:tc>
                <w:tcPr>
                  <w:tcW w:w="898" w:type="dxa"/>
                  <w:tcBorders>
                    <w:top w:val="nil"/>
                    <w:left w:val="nil"/>
                    <w:bottom w:val="single" w:sz="8" w:space="0" w:color="FFFFFF"/>
                    <w:right w:val="single" w:sz="8" w:space="0" w:color="FFFFFF"/>
                  </w:tcBorders>
                  <w:shd w:val="clear" w:color="000000" w:fill="FDE9D9"/>
                  <w:noWrap/>
                  <w:vAlign w:val="center"/>
                  <w:hideMark/>
                </w:tcPr>
                <w:p w14:paraId="21743017"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9.0 </w:t>
                  </w:r>
                </w:p>
              </w:tc>
              <w:tc>
                <w:tcPr>
                  <w:tcW w:w="1127" w:type="dxa"/>
                  <w:tcBorders>
                    <w:top w:val="nil"/>
                    <w:left w:val="nil"/>
                    <w:bottom w:val="single" w:sz="8" w:space="0" w:color="FFFFFF"/>
                    <w:right w:val="single" w:sz="8" w:space="0" w:color="FFFFFF"/>
                  </w:tcBorders>
                  <w:shd w:val="clear" w:color="000000" w:fill="FDE9D9"/>
                  <w:noWrap/>
                  <w:vAlign w:val="center"/>
                  <w:hideMark/>
                </w:tcPr>
                <w:p w14:paraId="0165B767"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企业债3Y</w:t>
                  </w:r>
                </w:p>
              </w:tc>
              <w:tc>
                <w:tcPr>
                  <w:tcW w:w="898" w:type="dxa"/>
                  <w:tcBorders>
                    <w:top w:val="nil"/>
                    <w:left w:val="nil"/>
                    <w:bottom w:val="single" w:sz="8" w:space="0" w:color="FFFFFF"/>
                    <w:right w:val="single" w:sz="8" w:space="0" w:color="FFFFFF"/>
                  </w:tcBorders>
                  <w:shd w:val="clear" w:color="000000" w:fill="FDE9D9"/>
                  <w:noWrap/>
                  <w:vAlign w:val="center"/>
                  <w:hideMark/>
                </w:tcPr>
                <w:p w14:paraId="3639A41D"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-1.1 </w:t>
                  </w:r>
                </w:p>
              </w:tc>
              <w:tc>
                <w:tcPr>
                  <w:tcW w:w="898" w:type="dxa"/>
                  <w:tcBorders>
                    <w:top w:val="nil"/>
                    <w:left w:val="nil"/>
                    <w:bottom w:val="single" w:sz="8" w:space="0" w:color="FFFFFF"/>
                    <w:right w:val="single" w:sz="8" w:space="0" w:color="FFFFFF"/>
                  </w:tcBorders>
                  <w:shd w:val="clear" w:color="000000" w:fill="FDE9D9"/>
                  <w:noWrap/>
                  <w:vAlign w:val="center"/>
                  <w:hideMark/>
                </w:tcPr>
                <w:p w14:paraId="5C59C12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-0.1 </w:t>
                  </w:r>
                </w:p>
              </w:tc>
              <w:tc>
                <w:tcPr>
                  <w:tcW w:w="898" w:type="dxa"/>
                  <w:tcBorders>
                    <w:top w:val="nil"/>
                    <w:left w:val="nil"/>
                    <w:bottom w:val="single" w:sz="8" w:space="0" w:color="FFFFFF"/>
                    <w:right w:val="single" w:sz="8" w:space="0" w:color="FFFFFF"/>
                  </w:tcBorders>
                  <w:shd w:val="clear" w:color="000000" w:fill="FDE9D9"/>
                  <w:noWrap/>
                  <w:vAlign w:val="center"/>
                  <w:hideMark/>
                </w:tcPr>
                <w:p w14:paraId="7A52F70F"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-4.1 </w:t>
                  </w:r>
                </w:p>
              </w:tc>
              <w:tc>
                <w:tcPr>
                  <w:tcW w:w="898" w:type="dxa"/>
                  <w:tcBorders>
                    <w:top w:val="nil"/>
                    <w:left w:val="nil"/>
                    <w:bottom w:val="single" w:sz="8" w:space="0" w:color="FFFFFF"/>
                    <w:right w:val="single" w:sz="8" w:space="0" w:color="FFFFFF"/>
                  </w:tcBorders>
                  <w:shd w:val="clear" w:color="000000" w:fill="FDE9D9"/>
                  <w:noWrap/>
                  <w:vAlign w:val="center"/>
                  <w:hideMark/>
                </w:tcPr>
                <w:p w14:paraId="5BDD061D"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-3.1 </w:t>
                  </w:r>
                </w:p>
              </w:tc>
            </w:tr>
            <w:tr w:rsidR="00A917BC" w:rsidRPr="00A917BC" w14:paraId="384AE392" w14:textId="77777777" w:rsidTr="00A917BC">
              <w:trPr>
                <w:trHeight w:val="290"/>
              </w:trPr>
              <w:tc>
                <w:tcPr>
                  <w:tcW w:w="1325" w:type="dxa"/>
                  <w:tcBorders>
                    <w:top w:val="nil"/>
                    <w:left w:val="nil"/>
                    <w:bottom w:val="single" w:sz="8" w:space="0" w:color="FFFFFF"/>
                    <w:right w:val="single" w:sz="8" w:space="0" w:color="FFFFFF"/>
                  </w:tcBorders>
                  <w:shd w:val="clear" w:color="000000" w:fill="FCD5B4"/>
                  <w:noWrap/>
                  <w:vAlign w:val="center"/>
                  <w:hideMark/>
                </w:tcPr>
                <w:p w14:paraId="4910EE44"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企业债5Y</w:t>
                  </w:r>
                </w:p>
              </w:tc>
              <w:tc>
                <w:tcPr>
                  <w:tcW w:w="898" w:type="dxa"/>
                  <w:tcBorders>
                    <w:top w:val="nil"/>
                    <w:left w:val="nil"/>
                    <w:bottom w:val="single" w:sz="8" w:space="0" w:color="FFFFFF"/>
                    <w:right w:val="single" w:sz="8" w:space="0" w:color="FFFFFF"/>
                  </w:tcBorders>
                  <w:shd w:val="clear" w:color="000000" w:fill="FCD5B4"/>
                  <w:noWrap/>
                  <w:vAlign w:val="center"/>
                  <w:hideMark/>
                </w:tcPr>
                <w:p w14:paraId="299187E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13.6 </w:t>
                  </w:r>
                </w:p>
              </w:tc>
              <w:tc>
                <w:tcPr>
                  <w:tcW w:w="899" w:type="dxa"/>
                  <w:tcBorders>
                    <w:top w:val="nil"/>
                    <w:left w:val="nil"/>
                    <w:bottom w:val="single" w:sz="8" w:space="0" w:color="FFFFFF"/>
                    <w:right w:val="single" w:sz="8" w:space="0" w:color="FFFFFF"/>
                  </w:tcBorders>
                  <w:shd w:val="clear" w:color="000000" w:fill="FCD5B4"/>
                  <w:noWrap/>
                  <w:vAlign w:val="center"/>
                  <w:hideMark/>
                </w:tcPr>
                <w:p w14:paraId="4F16D97E"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4.6 </w:t>
                  </w:r>
                </w:p>
              </w:tc>
              <w:tc>
                <w:tcPr>
                  <w:tcW w:w="899" w:type="dxa"/>
                  <w:tcBorders>
                    <w:top w:val="nil"/>
                    <w:left w:val="nil"/>
                    <w:bottom w:val="single" w:sz="8" w:space="0" w:color="FFFFFF"/>
                    <w:right w:val="single" w:sz="8" w:space="0" w:color="FFFFFF"/>
                  </w:tcBorders>
                  <w:shd w:val="clear" w:color="000000" w:fill="FCD5B4"/>
                  <w:noWrap/>
                  <w:vAlign w:val="center"/>
                  <w:hideMark/>
                </w:tcPr>
                <w:p w14:paraId="3AA2A24C"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2.6 </w:t>
                  </w:r>
                </w:p>
              </w:tc>
              <w:tc>
                <w:tcPr>
                  <w:tcW w:w="898" w:type="dxa"/>
                  <w:tcBorders>
                    <w:top w:val="nil"/>
                    <w:left w:val="nil"/>
                    <w:bottom w:val="single" w:sz="8" w:space="0" w:color="FFFFFF"/>
                    <w:right w:val="single" w:sz="8" w:space="0" w:color="FFFFFF"/>
                  </w:tcBorders>
                  <w:shd w:val="clear" w:color="000000" w:fill="FCD5B4"/>
                  <w:noWrap/>
                  <w:vAlign w:val="center"/>
                  <w:hideMark/>
                </w:tcPr>
                <w:p w14:paraId="0C390A3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1.6 </w:t>
                  </w:r>
                </w:p>
              </w:tc>
              <w:tc>
                <w:tcPr>
                  <w:tcW w:w="1127" w:type="dxa"/>
                  <w:tcBorders>
                    <w:top w:val="nil"/>
                    <w:left w:val="nil"/>
                    <w:bottom w:val="single" w:sz="8" w:space="0" w:color="FFFFFF"/>
                    <w:right w:val="single" w:sz="8" w:space="0" w:color="FFFFFF"/>
                  </w:tcBorders>
                  <w:shd w:val="clear" w:color="000000" w:fill="FCD5B4"/>
                  <w:noWrap/>
                  <w:vAlign w:val="center"/>
                  <w:hideMark/>
                </w:tcPr>
                <w:p w14:paraId="03489F58"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企业债5Y</w:t>
                  </w:r>
                </w:p>
              </w:tc>
              <w:tc>
                <w:tcPr>
                  <w:tcW w:w="898" w:type="dxa"/>
                  <w:tcBorders>
                    <w:top w:val="nil"/>
                    <w:left w:val="nil"/>
                    <w:bottom w:val="single" w:sz="8" w:space="0" w:color="FFFFFF"/>
                    <w:right w:val="single" w:sz="8" w:space="0" w:color="FFFFFF"/>
                  </w:tcBorders>
                  <w:shd w:val="clear" w:color="000000" w:fill="FCD5B4"/>
                  <w:noWrap/>
                  <w:vAlign w:val="center"/>
                  <w:hideMark/>
                </w:tcPr>
                <w:p w14:paraId="1415A68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7.3 </w:t>
                  </w:r>
                </w:p>
              </w:tc>
              <w:tc>
                <w:tcPr>
                  <w:tcW w:w="898" w:type="dxa"/>
                  <w:tcBorders>
                    <w:top w:val="nil"/>
                    <w:left w:val="nil"/>
                    <w:bottom w:val="single" w:sz="8" w:space="0" w:color="FFFFFF"/>
                    <w:right w:val="single" w:sz="8" w:space="0" w:color="FFFFFF"/>
                  </w:tcBorders>
                  <w:shd w:val="clear" w:color="000000" w:fill="FCD5B4"/>
                  <w:noWrap/>
                  <w:vAlign w:val="center"/>
                  <w:hideMark/>
                </w:tcPr>
                <w:p w14:paraId="1DA214F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-1.7 </w:t>
                  </w:r>
                </w:p>
              </w:tc>
              <w:tc>
                <w:tcPr>
                  <w:tcW w:w="898" w:type="dxa"/>
                  <w:tcBorders>
                    <w:top w:val="nil"/>
                    <w:left w:val="nil"/>
                    <w:bottom w:val="single" w:sz="8" w:space="0" w:color="FFFFFF"/>
                    <w:right w:val="single" w:sz="8" w:space="0" w:color="FFFFFF"/>
                  </w:tcBorders>
                  <w:shd w:val="clear" w:color="000000" w:fill="FCD5B4"/>
                  <w:noWrap/>
                  <w:vAlign w:val="center"/>
                  <w:hideMark/>
                </w:tcPr>
                <w:p w14:paraId="6E0AE74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-3.7 </w:t>
                  </w:r>
                </w:p>
              </w:tc>
              <w:tc>
                <w:tcPr>
                  <w:tcW w:w="898" w:type="dxa"/>
                  <w:tcBorders>
                    <w:top w:val="nil"/>
                    <w:left w:val="nil"/>
                    <w:bottom w:val="single" w:sz="8" w:space="0" w:color="FFFFFF"/>
                    <w:right w:val="single" w:sz="8" w:space="0" w:color="FFFFFF"/>
                  </w:tcBorders>
                  <w:shd w:val="clear" w:color="000000" w:fill="FCD5B4"/>
                  <w:noWrap/>
                  <w:vAlign w:val="center"/>
                  <w:hideMark/>
                </w:tcPr>
                <w:p w14:paraId="33575454"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-4.7 </w:t>
                  </w:r>
                </w:p>
              </w:tc>
            </w:tr>
            <w:tr w:rsidR="00A917BC" w:rsidRPr="00A917BC" w14:paraId="6A940E6F" w14:textId="77777777" w:rsidTr="00A917BC">
              <w:trPr>
                <w:trHeight w:val="290"/>
              </w:trPr>
              <w:tc>
                <w:tcPr>
                  <w:tcW w:w="1325" w:type="dxa"/>
                  <w:tcBorders>
                    <w:top w:val="nil"/>
                    <w:left w:val="nil"/>
                    <w:bottom w:val="single" w:sz="8" w:space="0" w:color="FFFFFF"/>
                    <w:right w:val="single" w:sz="8" w:space="0" w:color="FFFFFF"/>
                  </w:tcBorders>
                  <w:shd w:val="clear" w:color="000000" w:fill="FDE9D9"/>
                  <w:noWrap/>
                  <w:vAlign w:val="center"/>
                  <w:hideMark/>
                </w:tcPr>
                <w:p w14:paraId="2C0935B3"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企业债7Y</w:t>
                  </w:r>
                </w:p>
              </w:tc>
              <w:tc>
                <w:tcPr>
                  <w:tcW w:w="898" w:type="dxa"/>
                  <w:tcBorders>
                    <w:top w:val="nil"/>
                    <w:left w:val="nil"/>
                    <w:bottom w:val="single" w:sz="8" w:space="0" w:color="FFFFFF"/>
                    <w:right w:val="single" w:sz="8" w:space="0" w:color="FFFFFF"/>
                  </w:tcBorders>
                  <w:shd w:val="clear" w:color="000000" w:fill="FDE9D9"/>
                  <w:noWrap/>
                  <w:vAlign w:val="center"/>
                  <w:hideMark/>
                </w:tcPr>
                <w:p w14:paraId="785DEFD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10.3 </w:t>
                  </w:r>
                </w:p>
              </w:tc>
              <w:tc>
                <w:tcPr>
                  <w:tcW w:w="899" w:type="dxa"/>
                  <w:tcBorders>
                    <w:top w:val="nil"/>
                    <w:left w:val="nil"/>
                    <w:bottom w:val="single" w:sz="8" w:space="0" w:color="FFFFFF"/>
                    <w:right w:val="single" w:sz="8" w:space="0" w:color="FFFFFF"/>
                  </w:tcBorders>
                  <w:shd w:val="clear" w:color="000000" w:fill="FDE9D9"/>
                  <w:noWrap/>
                  <w:vAlign w:val="center"/>
                  <w:hideMark/>
                </w:tcPr>
                <w:p w14:paraId="46C5EBF5"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0.3 </w:t>
                  </w:r>
                </w:p>
              </w:tc>
              <w:tc>
                <w:tcPr>
                  <w:tcW w:w="899" w:type="dxa"/>
                  <w:tcBorders>
                    <w:top w:val="nil"/>
                    <w:left w:val="nil"/>
                    <w:bottom w:val="single" w:sz="8" w:space="0" w:color="FFFFFF"/>
                    <w:right w:val="single" w:sz="8" w:space="0" w:color="FFFFFF"/>
                  </w:tcBorders>
                  <w:shd w:val="clear" w:color="000000" w:fill="FDE9D9"/>
                  <w:noWrap/>
                  <w:vAlign w:val="center"/>
                  <w:hideMark/>
                </w:tcPr>
                <w:p w14:paraId="31F9F75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1.3 </w:t>
                  </w:r>
                </w:p>
              </w:tc>
              <w:tc>
                <w:tcPr>
                  <w:tcW w:w="898" w:type="dxa"/>
                  <w:tcBorders>
                    <w:top w:val="nil"/>
                    <w:left w:val="nil"/>
                    <w:bottom w:val="single" w:sz="8" w:space="0" w:color="FFFFFF"/>
                    <w:right w:val="single" w:sz="8" w:space="0" w:color="FFFFFF"/>
                  </w:tcBorders>
                  <w:shd w:val="clear" w:color="000000" w:fill="FDE9D9"/>
                  <w:noWrap/>
                  <w:vAlign w:val="center"/>
                  <w:hideMark/>
                </w:tcPr>
                <w:p w14:paraId="5D927635"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-0.7 </w:t>
                  </w:r>
                </w:p>
              </w:tc>
              <w:tc>
                <w:tcPr>
                  <w:tcW w:w="1127" w:type="dxa"/>
                  <w:tcBorders>
                    <w:top w:val="nil"/>
                    <w:left w:val="nil"/>
                    <w:bottom w:val="single" w:sz="8" w:space="0" w:color="FFFFFF"/>
                    <w:right w:val="single" w:sz="8" w:space="0" w:color="FFFFFF"/>
                  </w:tcBorders>
                  <w:shd w:val="clear" w:color="000000" w:fill="FDE9D9"/>
                  <w:noWrap/>
                  <w:vAlign w:val="center"/>
                  <w:hideMark/>
                </w:tcPr>
                <w:p w14:paraId="56CDB288"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企业债7Y</w:t>
                  </w:r>
                </w:p>
              </w:tc>
              <w:tc>
                <w:tcPr>
                  <w:tcW w:w="898" w:type="dxa"/>
                  <w:tcBorders>
                    <w:top w:val="nil"/>
                    <w:left w:val="nil"/>
                    <w:bottom w:val="single" w:sz="8" w:space="0" w:color="FFFFFF"/>
                    <w:right w:val="single" w:sz="8" w:space="0" w:color="FFFFFF"/>
                  </w:tcBorders>
                  <w:shd w:val="clear" w:color="000000" w:fill="FDE9D9"/>
                  <w:noWrap/>
                  <w:vAlign w:val="center"/>
                  <w:hideMark/>
                </w:tcPr>
                <w:p w14:paraId="2C46FF19"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3.4 </w:t>
                  </w:r>
                </w:p>
              </w:tc>
              <w:tc>
                <w:tcPr>
                  <w:tcW w:w="898" w:type="dxa"/>
                  <w:tcBorders>
                    <w:top w:val="nil"/>
                    <w:left w:val="nil"/>
                    <w:bottom w:val="single" w:sz="8" w:space="0" w:color="FFFFFF"/>
                    <w:right w:val="single" w:sz="8" w:space="0" w:color="FFFFFF"/>
                  </w:tcBorders>
                  <w:shd w:val="clear" w:color="000000" w:fill="FDE9D9"/>
                  <w:noWrap/>
                  <w:vAlign w:val="center"/>
                  <w:hideMark/>
                </w:tcPr>
                <w:p w14:paraId="3AB526F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-6.6 </w:t>
                  </w:r>
                </w:p>
              </w:tc>
              <w:tc>
                <w:tcPr>
                  <w:tcW w:w="898" w:type="dxa"/>
                  <w:tcBorders>
                    <w:top w:val="nil"/>
                    <w:left w:val="nil"/>
                    <w:bottom w:val="single" w:sz="8" w:space="0" w:color="FFFFFF"/>
                    <w:right w:val="single" w:sz="8" w:space="0" w:color="FFFFFF"/>
                  </w:tcBorders>
                  <w:shd w:val="clear" w:color="000000" w:fill="FDE9D9"/>
                  <w:noWrap/>
                  <w:vAlign w:val="center"/>
                  <w:hideMark/>
                </w:tcPr>
                <w:p w14:paraId="52A3C29E"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-5.6 </w:t>
                  </w:r>
                </w:p>
              </w:tc>
              <w:tc>
                <w:tcPr>
                  <w:tcW w:w="898" w:type="dxa"/>
                  <w:tcBorders>
                    <w:top w:val="nil"/>
                    <w:left w:val="nil"/>
                    <w:bottom w:val="single" w:sz="8" w:space="0" w:color="FFFFFF"/>
                    <w:right w:val="single" w:sz="8" w:space="0" w:color="FFFFFF"/>
                  </w:tcBorders>
                  <w:shd w:val="clear" w:color="000000" w:fill="FDE9D9"/>
                  <w:noWrap/>
                  <w:vAlign w:val="center"/>
                  <w:hideMark/>
                </w:tcPr>
                <w:p w14:paraId="6F6E03C8"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-7.6 </w:t>
                  </w:r>
                </w:p>
              </w:tc>
            </w:tr>
            <w:tr w:rsidR="00A917BC" w:rsidRPr="00A917BC" w14:paraId="6D96E91E" w14:textId="77777777" w:rsidTr="00A917BC">
              <w:trPr>
                <w:trHeight w:val="290"/>
              </w:trPr>
              <w:tc>
                <w:tcPr>
                  <w:tcW w:w="1325" w:type="dxa"/>
                  <w:tcBorders>
                    <w:top w:val="nil"/>
                    <w:left w:val="nil"/>
                    <w:bottom w:val="single" w:sz="8" w:space="0" w:color="FFFFFF"/>
                    <w:right w:val="single" w:sz="8" w:space="0" w:color="FFFFFF"/>
                  </w:tcBorders>
                  <w:shd w:val="clear" w:color="000000" w:fill="FCD5B4"/>
                  <w:noWrap/>
                  <w:vAlign w:val="center"/>
                  <w:hideMark/>
                </w:tcPr>
                <w:p w14:paraId="4CFA9F0D"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3Y</w:t>
                  </w:r>
                </w:p>
              </w:tc>
              <w:tc>
                <w:tcPr>
                  <w:tcW w:w="898" w:type="dxa"/>
                  <w:tcBorders>
                    <w:top w:val="nil"/>
                    <w:left w:val="nil"/>
                    <w:bottom w:val="single" w:sz="8" w:space="0" w:color="FFFFFF"/>
                    <w:right w:val="single" w:sz="8" w:space="0" w:color="FFFFFF"/>
                  </w:tcBorders>
                  <w:shd w:val="clear" w:color="000000" w:fill="FCD5B4"/>
                  <w:noWrap/>
                  <w:vAlign w:val="center"/>
                  <w:hideMark/>
                </w:tcPr>
                <w:p w14:paraId="45B490B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13.1 </w:t>
                  </w:r>
                </w:p>
              </w:tc>
              <w:tc>
                <w:tcPr>
                  <w:tcW w:w="899" w:type="dxa"/>
                  <w:tcBorders>
                    <w:top w:val="nil"/>
                    <w:left w:val="nil"/>
                    <w:bottom w:val="single" w:sz="8" w:space="0" w:color="FFFFFF"/>
                    <w:right w:val="single" w:sz="8" w:space="0" w:color="FFFFFF"/>
                  </w:tcBorders>
                  <w:shd w:val="clear" w:color="000000" w:fill="FCD5B4"/>
                  <w:noWrap/>
                  <w:vAlign w:val="center"/>
                  <w:hideMark/>
                </w:tcPr>
                <w:p w14:paraId="3B1F770C"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13.1 </w:t>
                  </w:r>
                </w:p>
              </w:tc>
              <w:tc>
                <w:tcPr>
                  <w:tcW w:w="899" w:type="dxa"/>
                  <w:tcBorders>
                    <w:top w:val="nil"/>
                    <w:left w:val="nil"/>
                    <w:bottom w:val="single" w:sz="8" w:space="0" w:color="FFFFFF"/>
                    <w:right w:val="single" w:sz="8" w:space="0" w:color="FFFFFF"/>
                  </w:tcBorders>
                  <w:shd w:val="clear" w:color="000000" w:fill="FCD5B4"/>
                  <w:noWrap/>
                  <w:vAlign w:val="center"/>
                  <w:hideMark/>
                </w:tcPr>
                <w:p w14:paraId="4126C94C"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11.1 </w:t>
                  </w:r>
                </w:p>
              </w:tc>
              <w:tc>
                <w:tcPr>
                  <w:tcW w:w="898" w:type="dxa"/>
                  <w:tcBorders>
                    <w:top w:val="nil"/>
                    <w:left w:val="nil"/>
                    <w:bottom w:val="single" w:sz="8" w:space="0" w:color="FFFFFF"/>
                    <w:right w:val="single" w:sz="8" w:space="0" w:color="FFFFFF"/>
                  </w:tcBorders>
                  <w:shd w:val="clear" w:color="000000" w:fill="FCD5B4"/>
                  <w:noWrap/>
                  <w:vAlign w:val="center"/>
                  <w:hideMark/>
                </w:tcPr>
                <w:p w14:paraId="08053C75"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15.1 </w:t>
                  </w:r>
                </w:p>
              </w:tc>
              <w:tc>
                <w:tcPr>
                  <w:tcW w:w="1127" w:type="dxa"/>
                  <w:tcBorders>
                    <w:top w:val="nil"/>
                    <w:left w:val="nil"/>
                    <w:bottom w:val="single" w:sz="8" w:space="0" w:color="FFFFFF"/>
                    <w:right w:val="single" w:sz="8" w:space="0" w:color="FFFFFF"/>
                  </w:tcBorders>
                  <w:shd w:val="clear" w:color="000000" w:fill="FCD5B4"/>
                  <w:noWrap/>
                  <w:vAlign w:val="center"/>
                  <w:hideMark/>
                </w:tcPr>
                <w:p w14:paraId="4BED11CB"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3Y</w:t>
                  </w:r>
                </w:p>
              </w:tc>
              <w:tc>
                <w:tcPr>
                  <w:tcW w:w="898" w:type="dxa"/>
                  <w:tcBorders>
                    <w:top w:val="nil"/>
                    <w:left w:val="nil"/>
                    <w:bottom w:val="single" w:sz="8" w:space="0" w:color="FFFFFF"/>
                    <w:right w:val="single" w:sz="8" w:space="0" w:color="FFFFFF"/>
                  </w:tcBorders>
                  <w:shd w:val="clear" w:color="000000" w:fill="FCD5B4"/>
                  <w:noWrap/>
                  <w:vAlign w:val="center"/>
                  <w:hideMark/>
                </w:tcPr>
                <w:p w14:paraId="60D088E9"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1.1 </w:t>
                  </w:r>
                </w:p>
              </w:tc>
              <w:tc>
                <w:tcPr>
                  <w:tcW w:w="898" w:type="dxa"/>
                  <w:tcBorders>
                    <w:top w:val="nil"/>
                    <w:left w:val="nil"/>
                    <w:bottom w:val="single" w:sz="8" w:space="0" w:color="FFFFFF"/>
                    <w:right w:val="single" w:sz="8" w:space="0" w:color="FFFFFF"/>
                  </w:tcBorders>
                  <w:shd w:val="clear" w:color="000000" w:fill="FCD5B4"/>
                  <w:noWrap/>
                  <w:vAlign w:val="center"/>
                  <w:hideMark/>
                </w:tcPr>
                <w:p w14:paraId="3B214FA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1.1 </w:t>
                  </w:r>
                </w:p>
              </w:tc>
              <w:tc>
                <w:tcPr>
                  <w:tcW w:w="898" w:type="dxa"/>
                  <w:tcBorders>
                    <w:top w:val="nil"/>
                    <w:left w:val="nil"/>
                    <w:bottom w:val="single" w:sz="8" w:space="0" w:color="FFFFFF"/>
                    <w:right w:val="single" w:sz="8" w:space="0" w:color="FFFFFF"/>
                  </w:tcBorders>
                  <w:shd w:val="clear" w:color="000000" w:fill="FCD5B4"/>
                  <w:noWrap/>
                  <w:vAlign w:val="center"/>
                  <w:hideMark/>
                </w:tcPr>
                <w:p w14:paraId="07F88612"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-0.9 </w:t>
                  </w:r>
                </w:p>
              </w:tc>
              <w:tc>
                <w:tcPr>
                  <w:tcW w:w="898" w:type="dxa"/>
                  <w:tcBorders>
                    <w:top w:val="nil"/>
                    <w:left w:val="nil"/>
                    <w:bottom w:val="single" w:sz="8" w:space="0" w:color="FFFFFF"/>
                    <w:right w:val="single" w:sz="8" w:space="0" w:color="FFFFFF"/>
                  </w:tcBorders>
                  <w:shd w:val="clear" w:color="000000" w:fill="FCD5B4"/>
                  <w:noWrap/>
                  <w:vAlign w:val="center"/>
                  <w:hideMark/>
                </w:tcPr>
                <w:p w14:paraId="643C04F4"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3.1 </w:t>
                  </w:r>
                </w:p>
              </w:tc>
            </w:tr>
            <w:tr w:rsidR="00A917BC" w:rsidRPr="00A917BC" w14:paraId="3F977112" w14:textId="77777777" w:rsidTr="00A917BC">
              <w:trPr>
                <w:trHeight w:val="290"/>
              </w:trPr>
              <w:tc>
                <w:tcPr>
                  <w:tcW w:w="1325" w:type="dxa"/>
                  <w:tcBorders>
                    <w:top w:val="nil"/>
                    <w:left w:val="nil"/>
                    <w:bottom w:val="single" w:sz="8" w:space="0" w:color="FFFFFF"/>
                    <w:right w:val="single" w:sz="8" w:space="0" w:color="FFFFFF"/>
                  </w:tcBorders>
                  <w:shd w:val="clear" w:color="000000" w:fill="FDE9D9"/>
                  <w:noWrap/>
                  <w:vAlign w:val="center"/>
                  <w:hideMark/>
                </w:tcPr>
                <w:p w14:paraId="517A13FE"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5Y</w:t>
                  </w:r>
                </w:p>
              </w:tc>
              <w:tc>
                <w:tcPr>
                  <w:tcW w:w="898" w:type="dxa"/>
                  <w:tcBorders>
                    <w:top w:val="nil"/>
                    <w:left w:val="nil"/>
                    <w:bottom w:val="single" w:sz="8" w:space="0" w:color="FFFFFF"/>
                    <w:right w:val="single" w:sz="8" w:space="0" w:color="FFFFFF"/>
                  </w:tcBorders>
                  <w:shd w:val="clear" w:color="000000" w:fill="FDE9D9"/>
                  <w:noWrap/>
                  <w:vAlign w:val="center"/>
                  <w:hideMark/>
                </w:tcPr>
                <w:p w14:paraId="535DC6EC"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13.1 </w:t>
                  </w:r>
                </w:p>
              </w:tc>
              <w:tc>
                <w:tcPr>
                  <w:tcW w:w="899" w:type="dxa"/>
                  <w:tcBorders>
                    <w:top w:val="nil"/>
                    <w:left w:val="nil"/>
                    <w:bottom w:val="single" w:sz="8" w:space="0" w:color="FFFFFF"/>
                    <w:right w:val="single" w:sz="8" w:space="0" w:color="FFFFFF"/>
                  </w:tcBorders>
                  <w:shd w:val="clear" w:color="000000" w:fill="FDE9D9"/>
                  <w:noWrap/>
                  <w:vAlign w:val="center"/>
                  <w:hideMark/>
                </w:tcPr>
                <w:p w14:paraId="4FA528C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10.1 </w:t>
                  </w:r>
                </w:p>
              </w:tc>
              <w:tc>
                <w:tcPr>
                  <w:tcW w:w="899" w:type="dxa"/>
                  <w:tcBorders>
                    <w:top w:val="nil"/>
                    <w:left w:val="nil"/>
                    <w:bottom w:val="single" w:sz="8" w:space="0" w:color="FFFFFF"/>
                    <w:right w:val="single" w:sz="8" w:space="0" w:color="FFFFFF"/>
                  </w:tcBorders>
                  <w:shd w:val="clear" w:color="000000" w:fill="FDE9D9"/>
                  <w:noWrap/>
                  <w:vAlign w:val="center"/>
                  <w:hideMark/>
                </w:tcPr>
                <w:p w14:paraId="0E1AE484"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10.1 </w:t>
                  </w:r>
                </w:p>
              </w:tc>
              <w:tc>
                <w:tcPr>
                  <w:tcW w:w="898" w:type="dxa"/>
                  <w:tcBorders>
                    <w:top w:val="nil"/>
                    <w:left w:val="nil"/>
                    <w:bottom w:val="single" w:sz="8" w:space="0" w:color="FFFFFF"/>
                    <w:right w:val="single" w:sz="8" w:space="0" w:color="FFFFFF"/>
                  </w:tcBorders>
                  <w:shd w:val="clear" w:color="000000" w:fill="FDE9D9"/>
                  <w:noWrap/>
                  <w:vAlign w:val="center"/>
                  <w:hideMark/>
                </w:tcPr>
                <w:p w14:paraId="38BD5D97"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14.1 </w:t>
                  </w:r>
                </w:p>
              </w:tc>
              <w:tc>
                <w:tcPr>
                  <w:tcW w:w="1127" w:type="dxa"/>
                  <w:tcBorders>
                    <w:top w:val="nil"/>
                    <w:left w:val="nil"/>
                    <w:bottom w:val="single" w:sz="8" w:space="0" w:color="FFFFFF"/>
                    <w:right w:val="single" w:sz="8" w:space="0" w:color="FFFFFF"/>
                  </w:tcBorders>
                  <w:shd w:val="clear" w:color="000000" w:fill="FDE9D9"/>
                  <w:noWrap/>
                  <w:vAlign w:val="center"/>
                  <w:hideMark/>
                </w:tcPr>
                <w:p w14:paraId="53BC4830"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5Y</w:t>
                  </w:r>
                </w:p>
              </w:tc>
              <w:tc>
                <w:tcPr>
                  <w:tcW w:w="898" w:type="dxa"/>
                  <w:tcBorders>
                    <w:top w:val="nil"/>
                    <w:left w:val="nil"/>
                    <w:bottom w:val="single" w:sz="8" w:space="0" w:color="FFFFFF"/>
                    <w:right w:val="single" w:sz="8" w:space="0" w:color="FFFFFF"/>
                  </w:tcBorders>
                  <w:shd w:val="clear" w:color="000000" w:fill="FDE9D9"/>
                  <w:noWrap/>
                  <w:vAlign w:val="center"/>
                  <w:hideMark/>
                </w:tcPr>
                <w:p w14:paraId="792A4D9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6.8 </w:t>
                  </w:r>
                </w:p>
              </w:tc>
              <w:tc>
                <w:tcPr>
                  <w:tcW w:w="898" w:type="dxa"/>
                  <w:tcBorders>
                    <w:top w:val="nil"/>
                    <w:left w:val="nil"/>
                    <w:bottom w:val="single" w:sz="8" w:space="0" w:color="FFFFFF"/>
                    <w:right w:val="single" w:sz="8" w:space="0" w:color="FFFFFF"/>
                  </w:tcBorders>
                  <w:shd w:val="clear" w:color="000000" w:fill="FDE9D9"/>
                  <w:noWrap/>
                  <w:vAlign w:val="center"/>
                  <w:hideMark/>
                </w:tcPr>
                <w:p w14:paraId="66EEEF12"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3.8 </w:t>
                  </w:r>
                </w:p>
              </w:tc>
              <w:tc>
                <w:tcPr>
                  <w:tcW w:w="898" w:type="dxa"/>
                  <w:tcBorders>
                    <w:top w:val="nil"/>
                    <w:left w:val="nil"/>
                    <w:bottom w:val="single" w:sz="8" w:space="0" w:color="FFFFFF"/>
                    <w:right w:val="single" w:sz="8" w:space="0" w:color="FFFFFF"/>
                  </w:tcBorders>
                  <w:shd w:val="clear" w:color="000000" w:fill="FDE9D9"/>
                  <w:noWrap/>
                  <w:vAlign w:val="center"/>
                  <w:hideMark/>
                </w:tcPr>
                <w:p w14:paraId="77566A5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3.8 </w:t>
                  </w:r>
                </w:p>
              </w:tc>
              <w:tc>
                <w:tcPr>
                  <w:tcW w:w="898" w:type="dxa"/>
                  <w:tcBorders>
                    <w:top w:val="nil"/>
                    <w:left w:val="nil"/>
                    <w:bottom w:val="single" w:sz="8" w:space="0" w:color="FFFFFF"/>
                    <w:right w:val="single" w:sz="8" w:space="0" w:color="FFFFFF"/>
                  </w:tcBorders>
                  <w:shd w:val="clear" w:color="000000" w:fill="FDE9D9"/>
                  <w:noWrap/>
                  <w:vAlign w:val="center"/>
                  <w:hideMark/>
                </w:tcPr>
                <w:p w14:paraId="49398B07"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7.8 </w:t>
                  </w:r>
                </w:p>
              </w:tc>
            </w:tr>
            <w:tr w:rsidR="00A917BC" w:rsidRPr="00A917BC" w14:paraId="17B52E03" w14:textId="77777777" w:rsidTr="00A917BC">
              <w:trPr>
                <w:trHeight w:val="290"/>
              </w:trPr>
              <w:tc>
                <w:tcPr>
                  <w:tcW w:w="1325" w:type="dxa"/>
                  <w:tcBorders>
                    <w:top w:val="nil"/>
                    <w:left w:val="nil"/>
                    <w:bottom w:val="nil"/>
                    <w:right w:val="nil"/>
                  </w:tcBorders>
                  <w:shd w:val="clear" w:color="000000" w:fill="FCD5B4"/>
                  <w:noWrap/>
                  <w:vAlign w:val="center"/>
                  <w:hideMark/>
                </w:tcPr>
                <w:p w14:paraId="2FD99E1A"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7Y</w:t>
                  </w:r>
                </w:p>
              </w:tc>
              <w:tc>
                <w:tcPr>
                  <w:tcW w:w="898" w:type="dxa"/>
                  <w:tcBorders>
                    <w:top w:val="nil"/>
                    <w:left w:val="nil"/>
                    <w:bottom w:val="single" w:sz="8" w:space="0" w:color="FFFFFF"/>
                    <w:right w:val="single" w:sz="8" w:space="0" w:color="FFFFFF"/>
                  </w:tcBorders>
                  <w:shd w:val="clear" w:color="000000" w:fill="FCD5B4"/>
                  <w:noWrap/>
                  <w:vAlign w:val="center"/>
                  <w:hideMark/>
                </w:tcPr>
                <w:p w14:paraId="4A9307C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6.2 </w:t>
                  </w:r>
                </w:p>
              </w:tc>
              <w:tc>
                <w:tcPr>
                  <w:tcW w:w="899" w:type="dxa"/>
                  <w:tcBorders>
                    <w:top w:val="nil"/>
                    <w:left w:val="nil"/>
                    <w:bottom w:val="single" w:sz="8" w:space="0" w:color="FFFFFF"/>
                    <w:right w:val="single" w:sz="8" w:space="0" w:color="FFFFFF"/>
                  </w:tcBorders>
                  <w:shd w:val="clear" w:color="000000" w:fill="FCD5B4"/>
                  <w:noWrap/>
                  <w:vAlign w:val="center"/>
                  <w:hideMark/>
                </w:tcPr>
                <w:p w14:paraId="059DA62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4.2 </w:t>
                  </w:r>
                </w:p>
              </w:tc>
              <w:tc>
                <w:tcPr>
                  <w:tcW w:w="899" w:type="dxa"/>
                  <w:tcBorders>
                    <w:top w:val="nil"/>
                    <w:left w:val="nil"/>
                    <w:bottom w:val="single" w:sz="8" w:space="0" w:color="FFFFFF"/>
                    <w:right w:val="single" w:sz="8" w:space="0" w:color="FFFFFF"/>
                  </w:tcBorders>
                  <w:shd w:val="clear" w:color="000000" w:fill="FCD5B4"/>
                  <w:noWrap/>
                  <w:vAlign w:val="center"/>
                  <w:hideMark/>
                </w:tcPr>
                <w:p w14:paraId="0BFBBF4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4.2 </w:t>
                  </w:r>
                </w:p>
              </w:tc>
              <w:tc>
                <w:tcPr>
                  <w:tcW w:w="898" w:type="dxa"/>
                  <w:tcBorders>
                    <w:top w:val="nil"/>
                    <w:left w:val="nil"/>
                    <w:bottom w:val="single" w:sz="8" w:space="0" w:color="FFFFFF"/>
                    <w:right w:val="single" w:sz="8" w:space="0" w:color="FFFFFF"/>
                  </w:tcBorders>
                  <w:shd w:val="clear" w:color="000000" w:fill="FCD5B4"/>
                  <w:noWrap/>
                  <w:vAlign w:val="center"/>
                  <w:hideMark/>
                </w:tcPr>
                <w:p w14:paraId="53E58E2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8.2 </w:t>
                  </w:r>
                </w:p>
              </w:tc>
              <w:tc>
                <w:tcPr>
                  <w:tcW w:w="1127" w:type="dxa"/>
                  <w:tcBorders>
                    <w:top w:val="nil"/>
                    <w:left w:val="nil"/>
                    <w:bottom w:val="nil"/>
                    <w:right w:val="nil"/>
                  </w:tcBorders>
                  <w:shd w:val="clear" w:color="000000" w:fill="FCD5B4"/>
                  <w:noWrap/>
                  <w:vAlign w:val="center"/>
                  <w:hideMark/>
                </w:tcPr>
                <w:p w14:paraId="288AA6EA"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7Y</w:t>
                  </w:r>
                </w:p>
              </w:tc>
              <w:tc>
                <w:tcPr>
                  <w:tcW w:w="898" w:type="dxa"/>
                  <w:tcBorders>
                    <w:top w:val="nil"/>
                    <w:left w:val="nil"/>
                    <w:bottom w:val="single" w:sz="8" w:space="0" w:color="FFFFFF"/>
                    <w:right w:val="single" w:sz="8" w:space="0" w:color="FFFFFF"/>
                  </w:tcBorders>
                  <w:shd w:val="clear" w:color="000000" w:fill="FCD5B4"/>
                  <w:noWrap/>
                  <w:vAlign w:val="center"/>
                  <w:hideMark/>
                </w:tcPr>
                <w:p w14:paraId="6A321C72"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-0.7 </w:t>
                  </w:r>
                </w:p>
              </w:tc>
              <w:tc>
                <w:tcPr>
                  <w:tcW w:w="898" w:type="dxa"/>
                  <w:tcBorders>
                    <w:top w:val="nil"/>
                    <w:left w:val="nil"/>
                    <w:bottom w:val="single" w:sz="8" w:space="0" w:color="FFFFFF"/>
                    <w:right w:val="single" w:sz="8" w:space="0" w:color="FFFFFF"/>
                  </w:tcBorders>
                  <w:shd w:val="clear" w:color="000000" w:fill="FCD5B4"/>
                  <w:noWrap/>
                  <w:vAlign w:val="center"/>
                  <w:hideMark/>
                </w:tcPr>
                <w:p w14:paraId="1F7A3F85"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-2.7 </w:t>
                  </w:r>
                </w:p>
              </w:tc>
              <w:tc>
                <w:tcPr>
                  <w:tcW w:w="898" w:type="dxa"/>
                  <w:tcBorders>
                    <w:top w:val="nil"/>
                    <w:left w:val="nil"/>
                    <w:bottom w:val="single" w:sz="8" w:space="0" w:color="FFFFFF"/>
                    <w:right w:val="single" w:sz="8" w:space="0" w:color="FFFFFF"/>
                  </w:tcBorders>
                  <w:shd w:val="clear" w:color="000000" w:fill="FCD5B4"/>
                  <w:noWrap/>
                  <w:vAlign w:val="center"/>
                  <w:hideMark/>
                </w:tcPr>
                <w:p w14:paraId="2FE39FB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FF0000"/>
                      <w:kern w:val="0"/>
                      <w:szCs w:val="21"/>
                    </w:rPr>
                    <w:t xml:space="preserve">-2.7 </w:t>
                  </w:r>
                </w:p>
              </w:tc>
              <w:tc>
                <w:tcPr>
                  <w:tcW w:w="898" w:type="dxa"/>
                  <w:tcBorders>
                    <w:top w:val="nil"/>
                    <w:left w:val="nil"/>
                    <w:bottom w:val="single" w:sz="8" w:space="0" w:color="FFFFFF"/>
                    <w:right w:val="single" w:sz="8" w:space="0" w:color="FFFFFF"/>
                  </w:tcBorders>
                  <w:shd w:val="clear" w:color="000000" w:fill="FCD5B4"/>
                  <w:noWrap/>
                  <w:vAlign w:val="center"/>
                  <w:hideMark/>
                </w:tcPr>
                <w:p w14:paraId="4A7222FD"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 xml:space="preserve">1.3 </w:t>
                  </w:r>
                </w:p>
              </w:tc>
            </w:tr>
            <w:tr w:rsidR="00A917BC" w:rsidRPr="00A917BC" w14:paraId="54BC0CAB" w14:textId="77777777" w:rsidTr="00A917BC">
              <w:trPr>
                <w:trHeight w:val="290"/>
              </w:trPr>
              <w:tc>
                <w:tcPr>
                  <w:tcW w:w="1325" w:type="dxa"/>
                  <w:tcBorders>
                    <w:top w:val="nil"/>
                    <w:left w:val="nil"/>
                    <w:bottom w:val="single" w:sz="12" w:space="0" w:color="FFFFFF"/>
                    <w:right w:val="single" w:sz="8" w:space="0" w:color="FFFFFF"/>
                  </w:tcBorders>
                  <w:shd w:val="clear" w:color="000000" w:fill="F79646"/>
                  <w:noWrap/>
                  <w:vAlign w:val="center"/>
                  <w:hideMark/>
                </w:tcPr>
                <w:p w14:paraId="24AC97E1"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收益率分位</w:t>
                  </w:r>
                </w:p>
              </w:tc>
              <w:tc>
                <w:tcPr>
                  <w:tcW w:w="898" w:type="dxa"/>
                  <w:tcBorders>
                    <w:top w:val="nil"/>
                    <w:left w:val="nil"/>
                    <w:bottom w:val="single" w:sz="12" w:space="0" w:color="FFFFFF"/>
                    <w:right w:val="single" w:sz="8" w:space="0" w:color="FFFFFF"/>
                  </w:tcBorders>
                  <w:shd w:val="clear" w:color="000000" w:fill="F79646"/>
                  <w:noWrap/>
                  <w:vAlign w:val="center"/>
                  <w:hideMark/>
                </w:tcPr>
                <w:p w14:paraId="0C4B49F7"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3F613730"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0F8EF798"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7ABD3CCF"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c>
                <w:tcPr>
                  <w:tcW w:w="1127" w:type="dxa"/>
                  <w:tcBorders>
                    <w:top w:val="nil"/>
                    <w:left w:val="nil"/>
                    <w:bottom w:val="single" w:sz="12" w:space="0" w:color="FFFFFF"/>
                    <w:right w:val="single" w:sz="8" w:space="0" w:color="FFFFFF"/>
                  </w:tcBorders>
                  <w:shd w:val="clear" w:color="000000" w:fill="F79646"/>
                  <w:noWrap/>
                  <w:vAlign w:val="center"/>
                  <w:hideMark/>
                </w:tcPr>
                <w:p w14:paraId="48D2D30D"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息差</w:t>
                  </w:r>
                </w:p>
              </w:tc>
              <w:tc>
                <w:tcPr>
                  <w:tcW w:w="898" w:type="dxa"/>
                  <w:tcBorders>
                    <w:top w:val="nil"/>
                    <w:left w:val="nil"/>
                    <w:bottom w:val="single" w:sz="12" w:space="0" w:color="FFFFFF"/>
                    <w:right w:val="single" w:sz="8" w:space="0" w:color="FFFFFF"/>
                  </w:tcBorders>
                  <w:shd w:val="clear" w:color="000000" w:fill="F79646"/>
                  <w:noWrap/>
                  <w:vAlign w:val="center"/>
                  <w:hideMark/>
                </w:tcPr>
                <w:p w14:paraId="5AF76B51"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AAA</w:t>
                  </w:r>
                </w:p>
              </w:tc>
              <w:tc>
                <w:tcPr>
                  <w:tcW w:w="898" w:type="dxa"/>
                  <w:tcBorders>
                    <w:top w:val="nil"/>
                    <w:left w:val="nil"/>
                    <w:bottom w:val="single" w:sz="12" w:space="0" w:color="FFFFFF"/>
                    <w:right w:val="single" w:sz="8" w:space="0" w:color="FFFFFF"/>
                  </w:tcBorders>
                  <w:shd w:val="clear" w:color="000000" w:fill="F79646"/>
                  <w:noWrap/>
                  <w:vAlign w:val="center"/>
                  <w:hideMark/>
                </w:tcPr>
                <w:p w14:paraId="60DCFB35"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189E18F7"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0430871D" w14:textId="77777777" w:rsidR="00A917BC" w:rsidRPr="00A917BC" w:rsidRDefault="00A917BC" w:rsidP="00A917BC">
                  <w:pPr>
                    <w:widowControl/>
                    <w:jc w:val="center"/>
                    <w:rPr>
                      <w:rFonts w:ascii="楷体" w:eastAsia="楷体" w:hAnsi="楷体" w:cs="宋体"/>
                      <w:b/>
                      <w:bCs/>
                      <w:color w:val="FFFFFF"/>
                      <w:kern w:val="0"/>
                      <w:sz w:val="20"/>
                      <w:szCs w:val="20"/>
                    </w:rPr>
                  </w:pPr>
                  <w:r w:rsidRPr="00A917BC">
                    <w:rPr>
                      <w:rFonts w:ascii="楷体" w:eastAsia="楷体" w:hAnsi="楷体" w:cs="宋体" w:hint="eastAsia"/>
                      <w:b/>
                      <w:bCs/>
                      <w:color w:val="FFFFFF"/>
                      <w:kern w:val="0"/>
                      <w:sz w:val="20"/>
                      <w:szCs w:val="20"/>
                    </w:rPr>
                    <w:t>AA-</w:t>
                  </w:r>
                </w:p>
              </w:tc>
            </w:tr>
            <w:tr w:rsidR="00A917BC" w:rsidRPr="00A917BC" w14:paraId="2F77496C" w14:textId="77777777" w:rsidTr="00A917BC">
              <w:trPr>
                <w:trHeight w:val="300"/>
              </w:trPr>
              <w:tc>
                <w:tcPr>
                  <w:tcW w:w="1325" w:type="dxa"/>
                  <w:tcBorders>
                    <w:top w:val="nil"/>
                    <w:left w:val="nil"/>
                    <w:bottom w:val="single" w:sz="8" w:space="0" w:color="FFFFFF"/>
                    <w:right w:val="single" w:sz="8" w:space="0" w:color="FFFFFF"/>
                  </w:tcBorders>
                  <w:shd w:val="clear" w:color="000000" w:fill="FCD5B4"/>
                  <w:noWrap/>
                  <w:vAlign w:val="center"/>
                  <w:hideMark/>
                </w:tcPr>
                <w:p w14:paraId="4D3EF19C"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CP</w:t>
                  </w:r>
                </w:p>
              </w:tc>
              <w:tc>
                <w:tcPr>
                  <w:tcW w:w="898" w:type="dxa"/>
                  <w:tcBorders>
                    <w:top w:val="nil"/>
                    <w:left w:val="nil"/>
                    <w:bottom w:val="single" w:sz="8" w:space="0" w:color="FFFFFF"/>
                    <w:right w:val="single" w:sz="8" w:space="0" w:color="FFFFFF"/>
                  </w:tcBorders>
                  <w:shd w:val="clear" w:color="000000" w:fill="FCD5B4"/>
                  <w:noWrap/>
                  <w:vAlign w:val="center"/>
                  <w:hideMark/>
                </w:tcPr>
                <w:p w14:paraId="02C7C052"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38%</w:t>
                  </w:r>
                </w:p>
              </w:tc>
              <w:tc>
                <w:tcPr>
                  <w:tcW w:w="899" w:type="dxa"/>
                  <w:tcBorders>
                    <w:top w:val="nil"/>
                    <w:left w:val="nil"/>
                    <w:bottom w:val="single" w:sz="8" w:space="0" w:color="FFFFFF"/>
                    <w:right w:val="single" w:sz="8" w:space="0" w:color="FFFFFF"/>
                  </w:tcBorders>
                  <w:shd w:val="clear" w:color="000000" w:fill="FCD5B4"/>
                  <w:noWrap/>
                  <w:vAlign w:val="center"/>
                  <w:hideMark/>
                </w:tcPr>
                <w:p w14:paraId="4429CAAD"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38%</w:t>
                  </w:r>
                </w:p>
              </w:tc>
              <w:tc>
                <w:tcPr>
                  <w:tcW w:w="899" w:type="dxa"/>
                  <w:tcBorders>
                    <w:top w:val="nil"/>
                    <w:left w:val="nil"/>
                    <w:bottom w:val="single" w:sz="8" w:space="0" w:color="FFFFFF"/>
                    <w:right w:val="single" w:sz="8" w:space="0" w:color="FFFFFF"/>
                  </w:tcBorders>
                  <w:shd w:val="clear" w:color="000000" w:fill="FCD5B4"/>
                  <w:noWrap/>
                  <w:vAlign w:val="center"/>
                  <w:hideMark/>
                </w:tcPr>
                <w:p w14:paraId="1251343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40%</w:t>
                  </w:r>
                </w:p>
              </w:tc>
              <w:tc>
                <w:tcPr>
                  <w:tcW w:w="898" w:type="dxa"/>
                  <w:tcBorders>
                    <w:top w:val="nil"/>
                    <w:left w:val="nil"/>
                    <w:bottom w:val="single" w:sz="8" w:space="0" w:color="FFFFFF"/>
                    <w:right w:val="single" w:sz="8" w:space="0" w:color="FFFFFF"/>
                  </w:tcBorders>
                  <w:shd w:val="clear" w:color="000000" w:fill="FCD5B4"/>
                  <w:noWrap/>
                  <w:vAlign w:val="center"/>
                  <w:hideMark/>
                </w:tcPr>
                <w:p w14:paraId="504D7CB2"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71%</w:t>
                  </w:r>
                </w:p>
              </w:tc>
              <w:tc>
                <w:tcPr>
                  <w:tcW w:w="1127" w:type="dxa"/>
                  <w:tcBorders>
                    <w:top w:val="nil"/>
                    <w:left w:val="nil"/>
                    <w:bottom w:val="single" w:sz="8" w:space="0" w:color="FFFFFF"/>
                    <w:right w:val="single" w:sz="8" w:space="0" w:color="FFFFFF"/>
                  </w:tcBorders>
                  <w:shd w:val="clear" w:color="000000" w:fill="FCD5B4"/>
                  <w:noWrap/>
                  <w:vAlign w:val="center"/>
                  <w:hideMark/>
                </w:tcPr>
                <w:p w14:paraId="47B59A85"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CP</w:t>
                  </w:r>
                </w:p>
              </w:tc>
              <w:tc>
                <w:tcPr>
                  <w:tcW w:w="898" w:type="dxa"/>
                  <w:tcBorders>
                    <w:top w:val="nil"/>
                    <w:left w:val="nil"/>
                    <w:bottom w:val="single" w:sz="8" w:space="0" w:color="FFFFFF"/>
                    <w:right w:val="single" w:sz="8" w:space="0" w:color="FFFFFF"/>
                  </w:tcBorders>
                  <w:shd w:val="clear" w:color="000000" w:fill="FCD5B4"/>
                  <w:noWrap/>
                  <w:vAlign w:val="center"/>
                  <w:hideMark/>
                </w:tcPr>
                <w:p w14:paraId="1CF5C2B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8%</w:t>
                  </w:r>
                </w:p>
              </w:tc>
              <w:tc>
                <w:tcPr>
                  <w:tcW w:w="898" w:type="dxa"/>
                  <w:tcBorders>
                    <w:top w:val="nil"/>
                    <w:left w:val="nil"/>
                    <w:bottom w:val="single" w:sz="8" w:space="0" w:color="FFFFFF"/>
                    <w:right w:val="single" w:sz="8" w:space="0" w:color="FFFFFF"/>
                  </w:tcBorders>
                  <w:shd w:val="clear" w:color="000000" w:fill="FCD5B4"/>
                  <w:noWrap/>
                  <w:vAlign w:val="center"/>
                  <w:hideMark/>
                </w:tcPr>
                <w:p w14:paraId="1B3B137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11%</w:t>
                  </w:r>
                </w:p>
              </w:tc>
              <w:tc>
                <w:tcPr>
                  <w:tcW w:w="898" w:type="dxa"/>
                  <w:tcBorders>
                    <w:top w:val="nil"/>
                    <w:left w:val="nil"/>
                    <w:bottom w:val="single" w:sz="8" w:space="0" w:color="FFFFFF"/>
                    <w:right w:val="single" w:sz="8" w:space="0" w:color="FFFFFF"/>
                  </w:tcBorders>
                  <w:shd w:val="clear" w:color="000000" w:fill="FCD5B4"/>
                  <w:noWrap/>
                  <w:vAlign w:val="center"/>
                  <w:hideMark/>
                </w:tcPr>
                <w:p w14:paraId="446665D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20%</w:t>
                  </w:r>
                </w:p>
              </w:tc>
              <w:tc>
                <w:tcPr>
                  <w:tcW w:w="898" w:type="dxa"/>
                  <w:tcBorders>
                    <w:top w:val="nil"/>
                    <w:left w:val="nil"/>
                    <w:bottom w:val="single" w:sz="8" w:space="0" w:color="FFFFFF"/>
                    <w:right w:val="single" w:sz="8" w:space="0" w:color="FFFFFF"/>
                  </w:tcBorders>
                  <w:shd w:val="clear" w:color="000000" w:fill="FFC7CE"/>
                  <w:noWrap/>
                  <w:vAlign w:val="center"/>
                  <w:hideMark/>
                </w:tcPr>
                <w:p w14:paraId="275CD580" w14:textId="77777777" w:rsidR="00A917BC" w:rsidRPr="00A917BC" w:rsidRDefault="00A917BC" w:rsidP="00A917BC">
                  <w:pPr>
                    <w:widowControl/>
                    <w:jc w:val="center"/>
                    <w:rPr>
                      <w:rFonts w:eastAsia="等线" w:cs="Calibri"/>
                      <w:color w:val="9C0006"/>
                      <w:kern w:val="0"/>
                      <w:szCs w:val="21"/>
                    </w:rPr>
                  </w:pPr>
                  <w:r w:rsidRPr="00A917BC">
                    <w:rPr>
                      <w:rFonts w:eastAsia="等线" w:cs="Calibri"/>
                      <w:color w:val="9C0006"/>
                      <w:kern w:val="0"/>
                      <w:szCs w:val="21"/>
                    </w:rPr>
                    <w:t>80%</w:t>
                  </w:r>
                </w:p>
              </w:tc>
            </w:tr>
            <w:tr w:rsidR="00A917BC" w:rsidRPr="00A917BC" w14:paraId="1CD800ED" w14:textId="77777777" w:rsidTr="00A917BC">
              <w:trPr>
                <w:trHeight w:val="290"/>
              </w:trPr>
              <w:tc>
                <w:tcPr>
                  <w:tcW w:w="1325" w:type="dxa"/>
                  <w:tcBorders>
                    <w:top w:val="nil"/>
                    <w:left w:val="nil"/>
                    <w:bottom w:val="single" w:sz="8" w:space="0" w:color="FFFFFF"/>
                    <w:right w:val="single" w:sz="8" w:space="0" w:color="FFFFFF"/>
                  </w:tcBorders>
                  <w:shd w:val="clear" w:color="000000" w:fill="FDE9D9"/>
                  <w:noWrap/>
                  <w:vAlign w:val="center"/>
                  <w:hideMark/>
                </w:tcPr>
                <w:p w14:paraId="0E487760"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MTN3Y</w:t>
                  </w:r>
                </w:p>
              </w:tc>
              <w:tc>
                <w:tcPr>
                  <w:tcW w:w="898" w:type="dxa"/>
                  <w:tcBorders>
                    <w:top w:val="nil"/>
                    <w:left w:val="nil"/>
                    <w:bottom w:val="single" w:sz="8" w:space="0" w:color="FFFFFF"/>
                    <w:right w:val="single" w:sz="8" w:space="0" w:color="FFFFFF"/>
                  </w:tcBorders>
                  <w:shd w:val="clear" w:color="000000" w:fill="FDE9D9"/>
                  <w:noWrap/>
                  <w:vAlign w:val="center"/>
                  <w:hideMark/>
                </w:tcPr>
                <w:p w14:paraId="0D1847C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31%</w:t>
                  </w:r>
                </w:p>
              </w:tc>
              <w:tc>
                <w:tcPr>
                  <w:tcW w:w="899" w:type="dxa"/>
                  <w:tcBorders>
                    <w:top w:val="nil"/>
                    <w:left w:val="nil"/>
                    <w:bottom w:val="single" w:sz="8" w:space="0" w:color="FFFFFF"/>
                    <w:right w:val="single" w:sz="8" w:space="0" w:color="FFFFFF"/>
                  </w:tcBorders>
                  <w:shd w:val="clear" w:color="000000" w:fill="FDE9D9"/>
                  <w:noWrap/>
                  <w:vAlign w:val="center"/>
                  <w:hideMark/>
                </w:tcPr>
                <w:p w14:paraId="7785CBE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33%</w:t>
                  </w:r>
                </w:p>
              </w:tc>
              <w:tc>
                <w:tcPr>
                  <w:tcW w:w="899" w:type="dxa"/>
                  <w:tcBorders>
                    <w:top w:val="nil"/>
                    <w:left w:val="nil"/>
                    <w:bottom w:val="single" w:sz="8" w:space="0" w:color="FFFFFF"/>
                    <w:right w:val="single" w:sz="8" w:space="0" w:color="FFFFFF"/>
                  </w:tcBorders>
                  <w:shd w:val="clear" w:color="000000" w:fill="FDE9D9"/>
                  <w:noWrap/>
                  <w:vAlign w:val="center"/>
                  <w:hideMark/>
                </w:tcPr>
                <w:p w14:paraId="62ECEC88"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36%</w:t>
                  </w:r>
                </w:p>
              </w:tc>
              <w:tc>
                <w:tcPr>
                  <w:tcW w:w="898" w:type="dxa"/>
                  <w:tcBorders>
                    <w:top w:val="nil"/>
                    <w:left w:val="nil"/>
                    <w:bottom w:val="single" w:sz="8" w:space="0" w:color="FFFFFF"/>
                    <w:right w:val="single" w:sz="8" w:space="0" w:color="FFFFFF"/>
                  </w:tcBorders>
                  <w:shd w:val="clear" w:color="000000" w:fill="FDE9D9"/>
                  <w:noWrap/>
                  <w:vAlign w:val="center"/>
                  <w:hideMark/>
                </w:tcPr>
                <w:p w14:paraId="363B087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71%</w:t>
                  </w:r>
                </w:p>
              </w:tc>
              <w:tc>
                <w:tcPr>
                  <w:tcW w:w="1127" w:type="dxa"/>
                  <w:tcBorders>
                    <w:top w:val="nil"/>
                    <w:left w:val="nil"/>
                    <w:bottom w:val="single" w:sz="8" w:space="0" w:color="FFFFFF"/>
                    <w:right w:val="single" w:sz="8" w:space="0" w:color="FFFFFF"/>
                  </w:tcBorders>
                  <w:shd w:val="clear" w:color="000000" w:fill="FDE9D9"/>
                  <w:noWrap/>
                  <w:vAlign w:val="center"/>
                  <w:hideMark/>
                </w:tcPr>
                <w:p w14:paraId="11C11FD1"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MTN3Y</w:t>
                  </w:r>
                </w:p>
              </w:tc>
              <w:tc>
                <w:tcPr>
                  <w:tcW w:w="898" w:type="dxa"/>
                  <w:tcBorders>
                    <w:top w:val="nil"/>
                    <w:left w:val="nil"/>
                    <w:bottom w:val="single" w:sz="8" w:space="0" w:color="FFFFFF"/>
                    <w:right w:val="single" w:sz="8" w:space="0" w:color="FFFFFF"/>
                  </w:tcBorders>
                  <w:shd w:val="clear" w:color="000000" w:fill="FDE9D9"/>
                  <w:noWrap/>
                  <w:vAlign w:val="center"/>
                  <w:hideMark/>
                </w:tcPr>
                <w:p w14:paraId="38EE533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20%</w:t>
                  </w:r>
                </w:p>
              </w:tc>
              <w:tc>
                <w:tcPr>
                  <w:tcW w:w="898" w:type="dxa"/>
                  <w:tcBorders>
                    <w:top w:val="nil"/>
                    <w:left w:val="nil"/>
                    <w:bottom w:val="single" w:sz="8" w:space="0" w:color="FFFFFF"/>
                    <w:right w:val="single" w:sz="8" w:space="0" w:color="FFFFFF"/>
                  </w:tcBorders>
                  <w:shd w:val="clear" w:color="000000" w:fill="FDE9D9"/>
                  <w:noWrap/>
                  <w:vAlign w:val="center"/>
                  <w:hideMark/>
                </w:tcPr>
                <w:p w14:paraId="29FA5678"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22%</w:t>
                  </w:r>
                </w:p>
              </w:tc>
              <w:tc>
                <w:tcPr>
                  <w:tcW w:w="898" w:type="dxa"/>
                  <w:tcBorders>
                    <w:top w:val="nil"/>
                    <w:left w:val="nil"/>
                    <w:bottom w:val="single" w:sz="8" w:space="0" w:color="FFFFFF"/>
                    <w:right w:val="single" w:sz="8" w:space="0" w:color="FFFFFF"/>
                  </w:tcBorders>
                  <w:shd w:val="clear" w:color="000000" w:fill="FDE9D9"/>
                  <w:noWrap/>
                  <w:vAlign w:val="center"/>
                  <w:hideMark/>
                </w:tcPr>
                <w:p w14:paraId="03D4010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26%</w:t>
                  </w:r>
                </w:p>
              </w:tc>
              <w:tc>
                <w:tcPr>
                  <w:tcW w:w="898" w:type="dxa"/>
                  <w:tcBorders>
                    <w:top w:val="nil"/>
                    <w:left w:val="nil"/>
                    <w:bottom w:val="single" w:sz="8" w:space="0" w:color="FFFFFF"/>
                    <w:right w:val="single" w:sz="8" w:space="0" w:color="FFFFFF"/>
                  </w:tcBorders>
                  <w:shd w:val="clear" w:color="000000" w:fill="FFC7CE"/>
                  <w:noWrap/>
                  <w:vAlign w:val="center"/>
                  <w:hideMark/>
                </w:tcPr>
                <w:p w14:paraId="77373ACF" w14:textId="77777777" w:rsidR="00A917BC" w:rsidRPr="00A917BC" w:rsidRDefault="00A917BC" w:rsidP="00A917BC">
                  <w:pPr>
                    <w:widowControl/>
                    <w:jc w:val="center"/>
                    <w:rPr>
                      <w:rFonts w:eastAsia="等线" w:cs="Calibri"/>
                      <w:color w:val="9C0006"/>
                      <w:kern w:val="0"/>
                      <w:szCs w:val="21"/>
                    </w:rPr>
                  </w:pPr>
                  <w:r w:rsidRPr="00A917BC">
                    <w:rPr>
                      <w:rFonts w:eastAsia="等线" w:cs="Calibri"/>
                      <w:color w:val="9C0006"/>
                      <w:kern w:val="0"/>
                      <w:szCs w:val="21"/>
                    </w:rPr>
                    <w:t>87%</w:t>
                  </w:r>
                </w:p>
              </w:tc>
            </w:tr>
            <w:tr w:rsidR="00A917BC" w:rsidRPr="00A917BC" w14:paraId="4F639EFE" w14:textId="77777777" w:rsidTr="00A917BC">
              <w:trPr>
                <w:trHeight w:val="290"/>
              </w:trPr>
              <w:tc>
                <w:tcPr>
                  <w:tcW w:w="1325" w:type="dxa"/>
                  <w:tcBorders>
                    <w:top w:val="nil"/>
                    <w:left w:val="nil"/>
                    <w:bottom w:val="single" w:sz="8" w:space="0" w:color="FFFFFF"/>
                    <w:right w:val="single" w:sz="8" w:space="0" w:color="FFFFFF"/>
                  </w:tcBorders>
                  <w:shd w:val="clear" w:color="000000" w:fill="FCD5B4"/>
                  <w:noWrap/>
                  <w:vAlign w:val="center"/>
                  <w:hideMark/>
                </w:tcPr>
                <w:p w14:paraId="25A842F7"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MTN5Y</w:t>
                  </w:r>
                </w:p>
              </w:tc>
              <w:tc>
                <w:tcPr>
                  <w:tcW w:w="898" w:type="dxa"/>
                  <w:tcBorders>
                    <w:top w:val="nil"/>
                    <w:left w:val="nil"/>
                    <w:bottom w:val="single" w:sz="8" w:space="0" w:color="FFFFFF"/>
                    <w:right w:val="single" w:sz="8" w:space="0" w:color="FFFFFF"/>
                  </w:tcBorders>
                  <w:shd w:val="clear" w:color="000000" w:fill="FCD5B4"/>
                  <w:noWrap/>
                  <w:vAlign w:val="center"/>
                  <w:hideMark/>
                </w:tcPr>
                <w:p w14:paraId="431DC06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21%</w:t>
                  </w:r>
                </w:p>
              </w:tc>
              <w:tc>
                <w:tcPr>
                  <w:tcW w:w="899" w:type="dxa"/>
                  <w:tcBorders>
                    <w:top w:val="nil"/>
                    <w:left w:val="nil"/>
                    <w:bottom w:val="single" w:sz="8" w:space="0" w:color="FFFFFF"/>
                    <w:right w:val="single" w:sz="8" w:space="0" w:color="FFFFFF"/>
                  </w:tcBorders>
                  <w:shd w:val="clear" w:color="000000" w:fill="FCD5B4"/>
                  <w:noWrap/>
                  <w:vAlign w:val="center"/>
                  <w:hideMark/>
                </w:tcPr>
                <w:p w14:paraId="676B95AC"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27%</w:t>
                  </w:r>
                </w:p>
              </w:tc>
              <w:tc>
                <w:tcPr>
                  <w:tcW w:w="899" w:type="dxa"/>
                  <w:tcBorders>
                    <w:top w:val="nil"/>
                    <w:left w:val="nil"/>
                    <w:bottom w:val="single" w:sz="8" w:space="0" w:color="FFFFFF"/>
                    <w:right w:val="single" w:sz="8" w:space="0" w:color="FFFFFF"/>
                  </w:tcBorders>
                  <w:shd w:val="clear" w:color="000000" w:fill="FCD5B4"/>
                  <w:noWrap/>
                  <w:vAlign w:val="center"/>
                  <w:hideMark/>
                </w:tcPr>
                <w:p w14:paraId="2559C84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29%</w:t>
                  </w:r>
                </w:p>
              </w:tc>
              <w:tc>
                <w:tcPr>
                  <w:tcW w:w="898" w:type="dxa"/>
                  <w:tcBorders>
                    <w:top w:val="nil"/>
                    <w:left w:val="nil"/>
                    <w:bottom w:val="single" w:sz="8" w:space="0" w:color="FFFFFF"/>
                    <w:right w:val="single" w:sz="8" w:space="0" w:color="FFFFFF"/>
                  </w:tcBorders>
                  <w:shd w:val="clear" w:color="000000" w:fill="FCD5B4"/>
                  <w:noWrap/>
                  <w:vAlign w:val="center"/>
                  <w:hideMark/>
                </w:tcPr>
                <w:p w14:paraId="0065B2CD"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70%</w:t>
                  </w:r>
                </w:p>
              </w:tc>
              <w:tc>
                <w:tcPr>
                  <w:tcW w:w="1127" w:type="dxa"/>
                  <w:tcBorders>
                    <w:top w:val="nil"/>
                    <w:left w:val="nil"/>
                    <w:bottom w:val="single" w:sz="8" w:space="0" w:color="FFFFFF"/>
                    <w:right w:val="single" w:sz="8" w:space="0" w:color="FFFFFF"/>
                  </w:tcBorders>
                  <w:shd w:val="clear" w:color="000000" w:fill="FCD5B4"/>
                  <w:noWrap/>
                  <w:vAlign w:val="center"/>
                  <w:hideMark/>
                </w:tcPr>
                <w:p w14:paraId="588915DF"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MTN5Y</w:t>
                  </w:r>
                </w:p>
              </w:tc>
              <w:tc>
                <w:tcPr>
                  <w:tcW w:w="898" w:type="dxa"/>
                  <w:tcBorders>
                    <w:top w:val="nil"/>
                    <w:left w:val="nil"/>
                    <w:bottom w:val="single" w:sz="8" w:space="0" w:color="FFFFFF"/>
                    <w:right w:val="single" w:sz="8" w:space="0" w:color="FFFFFF"/>
                  </w:tcBorders>
                  <w:shd w:val="clear" w:color="000000" w:fill="FCD5B4"/>
                  <w:noWrap/>
                  <w:vAlign w:val="center"/>
                  <w:hideMark/>
                </w:tcPr>
                <w:p w14:paraId="1E18FD15"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12%</w:t>
                  </w:r>
                </w:p>
              </w:tc>
              <w:tc>
                <w:tcPr>
                  <w:tcW w:w="898" w:type="dxa"/>
                  <w:tcBorders>
                    <w:top w:val="nil"/>
                    <w:left w:val="nil"/>
                    <w:bottom w:val="single" w:sz="8" w:space="0" w:color="FFFFFF"/>
                    <w:right w:val="single" w:sz="8" w:space="0" w:color="FFFFFF"/>
                  </w:tcBorders>
                  <w:shd w:val="clear" w:color="000000" w:fill="FCD5B4"/>
                  <w:noWrap/>
                  <w:vAlign w:val="center"/>
                  <w:hideMark/>
                </w:tcPr>
                <w:p w14:paraId="3FB1D42A"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22%</w:t>
                  </w:r>
                </w:p>
              </w:tc>
              <w:tc>
                <w:tcPr>
                  <w:tcW w:w="898" w:type="dxa"/>
                  <w:tcBorders>
                    <w:top w:val="nil"/>
                    <w:left w:val="nil"/>
                    <w:bottom w:val="single" w:sz="8" w:space="0" w:color="FFFFFF"/>
                    <w:right w:val="single" w:sz="8" w:space="0" w:color="FFFFFF"/>
                  </w:tcBorders>
                  <w:shd w:val="clear" w:color="000000" w:fill="FCD5B4"/>
                  <w:noWrap/>
                  <w:vAlign w:val="center"/>
                  <w:hideMark/>
                </w:tcPr>
                <w:p w14:paraId="2425185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27%</w:t>
                  </w:r>
                </w:p>
              </w:tc>
              <w:tc>
                <w:tcPr>
                  <w:tcW w:w="898" w:type="dxa"/>
                  <w:tcBorders>
                    <w:top w:val="nil"/>
                    <w:left w:val="nil"/>
                    <w:bottom w:val="single" w:sz="8" w:space="0" w:color="FFFFFF"/>
                    <w:right w:val="single" w:sz="8" w:space="0" w:color="FFFFFF"/>
                  </w:tcBorders>
                  <w:shd w:val="clear" w:color="000000" w:fill="FFC7CE"/>
                  <w:noWrap/>
                  <w:vAlign w:val="center"/>
                  <w:hideMark/>
                </w:tcPr>
                <w:p w14:paraId="3E2292B9" w14:textId="77777777" w:rsidR="00A917BC" w:rsidRPr="00A917BC" w:rsidRDefault="00A917BC" w:rsidP="00A917BC">
                  <w:pPr>
                    <w:widowControl/>
                    <w:jc w:val="center"/>
                    <w:rPr>
                      <w:rFonts w:eastAsia="等线" w:cs="Calibri"/>
                      <w:color w:val="9C0006"/>
                      <w:kern w:val="0"/>
                      <w:szCs w:val="21"/>
                    </w:rPr>
                  </w:pPr>
                  <w:r w:rsidRPr="00A917BC">
                    <w:rPr>
                      <w:rFonts w:eastAsia="等线" w:cs="Calibri"/>
                      <w:color w:val="9C0006"/>
                      <w:kern w:val="0"/>
                      <w:szCs w:val="21"/>
                    </w:rPr>
                    <w:t>81%</w:t>
                  </w:r>
                </w:p>
              </w:tc>
            </w:tr>
            <w:tr w:rsidR="00A917BC" w:rsidRPr="00A917BC" w14:paraId="0C906C6A" w14:textId="77777777" w:rsidTr="00A917BC">
              <w:trPr>
                <w:trHeight w:val="290"/>
              </w:trPr>
              <w:tc>
                <w:tcPr>
                  <w:tcW w:w="1325" w:type="dxa"/>
                  <w:tcBorders>
                    <w:top w:val="nil"/>
                    <w:left w:val="nil"/>
                    <w:bottom w:val="single" w:sz="8" w:space="0" w:color="FFFFFF"/>
                    <w:right w:val="single" w:sz="8" w:space="0" w:color="FFFFFF"/>
                  </w:tcBorders>
                  <w:shd w:val="clear" w:color="000000" w:fill="FDE9D9"/>
                  <w:noWrap/>
                  <w:vAlign w:val="center"/>
                  <w:hideMark/>
                </w:tcPr>
                <w:p w14:paraId="3BD763AB"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企业债3Y</w:t>
                  </w:r>
                </w:p>
              </w:tc>
              <w:tc>
                <w:tcPr>
                  <w:tcW w:w="898" w:type="dxa"/>
                  <w:tcBorders>
                    <w:top w:val="nil"/>
                    <w:left w:val="nil"/>
                    <w:bottom w:val="single" w:sz="8" w:space="0" w:color="FFFFFF"/>
                    <w:right w:val="single" w:sz="8" w:space="0" w:color="FFFFFF"/>
                  </w:tcBorders>
                  <w:shd w:val="clear" w:color="000000" w:fill="FDE9D9"/>
                  <w:noWrap/>
                  <w:vAlign w:val="center"/>
                  <w:hideMark/>
                </w:tcPr>
                <w:p w14:paraId="51177874"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31%</w:t>
                  </w:r>
                </w:p>
              </w:tc>
              <w:tc>
                <w:tcPr>
                  <w:tcW w:w="899" w:type="dxa"/>
                  <w:tcBorders>
                    <w:top w:val="nil"/>
                    <w:left w:val="nil"/>
                    <w:bottom w:val="single" w:sz="8" w:space="0" w:color="FFFFFF"/>
                    <w:right w:val="single" w:sz="8" w:space="0" w:color="FFFFFF"/>
                  </w:tcBorders>
                  <w:shd w:val="clear" w:color="000000" w:fill="FDE9D9"/>
                  <w:noWrap/>
                  <w:vAlign w:val="center"/>
                  <w:hideMark/>
                </w:tcPr>
                <w:p w14:paraId="0C74D21C"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27%</w:t>
                  </w:r>
                </w:p>
              </w:tc>
              <w:tc>
                <w:tcPr>
                  <w:tcW w:w="899" w:type="dxa"/>
                  <w:tcBorders>
                    <w:top w:val="nil"/>
                    <w:left w:val="nil"/>
                    <w:bottom w:val="single" w:sz="8" w:space="0" w:color="FFFFFF"/>
                    <w:right w:val="single" w:sz="8" w:space="0" w:color="FFFFFF"/>
                  </w:tcBorders>
                  <w:shd w:val="clear" w:color="000000" w:fill="FDE9D9"/>
                  <w:noWrap/>
                  <w:vAlign w:val="center"/>
                  <w:hideMark/>
                </w:tcPr>
                <w:p w14:paraId="78AD391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32%</w:t>
                  </w:r>
                </w:p>
              </w:tc>
              <w:tc>
                <w:tcPr>
                  <w:tcW w:w="898" w:type="dxa"/>
                  <w:tcBorders>
                    <w:top w:val="nil"/>
                    <w:left w:val="nil"/>
                    <w:bottom w:val="single" w:sz="8" w:space="0" w:color="FFFFFF"/>
                    <w:right w:val="single" w:sz="8" w:space="0" w:color="FFFFFF"/>
                  </w:tcBorders>
                  <w:shd w:val="clear" w:color="000000" w:fill="FDE9D9"/>
                  <w:noWrap/>
                  <w:vAlign w:val="center"/>
                  <w:hideMark/>
                </w:tcPr>
                <w:p w14:paraId="2873F4AF"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68%</w:t>
                  </w:r>
                </w:p>
              </w:tc>
              <w:tc>
                <w:tcPr>
                  <w:tcW w:w="1127" w:type="dxa"/>
                  <w:tcBorders>
                    <w:top w:val="nil"/>
                    <w:left w:val="nil"/>
                    <w:bottom w:val="single" w:sz="8" w:space="0" w:color="FFFFFF"/>
                    <w:right w:val="single" w:sz="8" w:space="0" w:color="FFFFFF"/>
                  </w:tcBorders>
                  <w:shd w:val="clear" w:color="000000" w:fill="FDE9D9"/>
                  <w:noWrap/>
                  <w:vAlign w:val="center"/>
                  <w:hideMark/>
                </w:tcPr>
                <w:p w14:paraId="037EA270"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企业债3Y</w:t>
                  </w:r>
                </w:p>
              </w:tc>
              <w:tc>
                <w:tcPr>
                  <w:tcW w:w="898" w:type="dxa"/>
                  <w:tcBorders>
                    <w:top w:val="nil"/>
                    <w:left w:val="nil"/>
                    <w:bottom w:val="single" w:sz="8" w:space="0" w:color="FFFFFF"/>
                    <w:right w:val="single" w:sz="8" w:space="0" w:color="FFFFFF"/>
                  </w:tcBorders>
                  <w:shd w:val="clear" w:color="000000" w:fill="FDE9D9"/>
                  <w:noWrap/>
                  <w:vAlign w:val="center"/>
                  <w:hideMark/>
                </w:tcPr>
                <w:p w14:paraId="2C2A5364"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17%</w:t>
                  </w:r>
                </w:p>
              </w:tc>
              <w:tc>
                <w:tcPr>
                  <w:tcW w:w="898" w:type="dxa"/>
                  <w:tcBorders>
                    <w:top w:val="nil"/>
                    <w:left w:val="nil"/>
                    <w:bottom w:val="single" w:sz="8" w:space="0" w:color="FFFFFF"/>
                    <w:right w:val="single" w:sz="8" w:space="0" w:color="FFFFFF"/>
                  </w:tcBorders>
                  <w:shd w:val="clear" w:color="000000" w:fill="FDE9D9"/>
                  <w:noWrap/>
                  <w:vAlign w:val="center"/>
                  <w:hideMark/>
                </w:tcPr>
                <w:p w14:paraId="6ECDFFB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15%</w:t>
                  </w:r>
                </w:p>
              </w:tc>
              <w:tc>
                <w:tcPr>
                  <w:tcW w:w="898" w:type="dxa"/>
                  <w:tcBorders>
                    <w:top w:val="nil"/>
                    <w:left w:val="nil"/>
                    <w:bottom w:val="single" w:sz="8" w:space="0" w:color="FFFFFF"/>
                    <w:right w:val="single" w:sz="8" w:space="0" w:color="FFFFFF"/>
                  </w:tcBorders>
                  <w:shd w:val="clear" w:color="000000" w:fill="FDE9D9"/>
                  <w:noWrap/>
                  <w:vAlign w:val="center"/>
                  <w:hideMark/>
                </w:tcPr>
                <w:p w14:paraId="6FD7E7E5"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20%</w:t>
                  </w:r>
                </w:p>
              </w:tc>
              <w:tc>
                <w:tcPr>
                  <w:tcW w:w="898" w:type="dxa"/>
                  <w:tcBorders>
                    <w:top w:val="nil"/>
                    <w:left w:val="nil"/>
                    <w:bottom w:val="single" w:sz="8" w:space="0" w:color="FFFFFF"/>
                    <w:right w:val="single" w:sz="8" w:space="0" w:color="FFFFFF"/>
                  </w:tcBorders>
                  <w:shd w:val="clear" w:color="000000" w:fill="FFC7CE"/>
                  <w:noWrap/>
                  <w:vAlign w:val="center"/>
                  <w:hideMark/>
                </w:tcPr>
                <w:p w14:paraId="48E822EB" w14:textId="77777777" w:rsidR="00A917BC" w:rsidRPr="00A917BC" w:rsidRDefault="00A917BC" w:rsidP="00A917BC">
                  <w:pPr>
                    <w:widowControl/>
                    <w:jc w:val="center"/>
                    <w:rPr>
                      <w:rFonts w:eastAsia="等线" w:cs="Calibri"/>
                      <w:color w:val="9C0006"/>
                      <w:kern w:val="0"/>
                      <w:szCs w:val="21"/>
                    </w:rPr>
                  </w:pPr>
                  <w:r w:rsidRPr="00A917BC">
                    <w:rPr>
                      <w:rFonts w:eastAsia="等线" w:cs="Calibri"/>
                      <w:color w:val="9C0006"/>
                      <w:kern w:val="0"/>
                      <w:szCs w:val="21"/>
                    </w:rPr>
                    <w:t>80%</w:t>
                  </w:r>
                </w:p>
              </w:tc>
            </w:tr>
            <w:tr w:rsidR="00A917BC" w:rsidRPr="00A917BC" w14:paraId="7A09886A" w14:textId="77777777" w:rsidTr="00A917BC">
              <w:trPr>
                <w:trHeight w:val="290"/>
              </w:trPr>
              <w:tc>
                <w:tcPr>
                  <w:tcW w:w="1325" w:type="dxa"/>
                  <w:tcBorders>
                    <w:top w:val="nil"/>
                    <w:left w:val="nil"/>
                    <w:bottom w:val="single" w:sz="8" w:space="0" w:color="FFFFFF"/>
                    <w:right w:val="single" w:sz="8" w:space="0" w:color="FFFFFF"/>
                  </w:tcBorders>
                  <w:shd w:val="clear" w:color="000000" w:fill="FCD5B4"/>
                  <w:noWrap/>
                  <w:vAlign w:val="center"/>
                  <w:hideMark/>
                </w:tcPr>
                <w:p w14:paraId="1B9BC639"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企业债5Y</w:t>
                  </w:r>
                </w:p>
              </w:tc>
              <w:tc>
                <w:tcPr>
                  <w:tcW w:w="898" w:type="dxa"/>
                  <w:tcBorders>
                    <w:top w:val="nil"/>
                    <w:left w:val="nil"/>
                    <w:bottom w:val="single" w:sz="8" w:space="0" w:color="FFFFFF"/>
                    <w:right w:val="single" w:sz="8" w:space="0" w:color="FFFFFF"/>
                  </w:tcBorders>
                  <w:shd w:val="clear" w:color="000000" w:fill="FCD5B4"/>
                  <w:noWrap/>
                  <w:vAlign w:val="center"/>
                  <w:hideMark/>
                </w:tcPr>
                <w:p w14:paraId="4210368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23%</w:t>
                  </w:r>
                </w:p>
              </w:tc>
              <w:tc>
                <w:tcPr>
                  <w:tcW w:w="899" w:type="dxa"/>
                  <w:tcBorders>
                    <w:top w:val="nil"/>
                    <w:left w:val="nil"/>
                    <w:bottom w:val="single" w:sz="8" w:space="0" w:color="FFFFFF"/>
                    <w:right w:val="single" w:sz="8" w:space="0" w:color="FFFFFF"/>
                  </w:tcBorders>
                  <w:shd w:val="clear" w:color="000000" w:fill="FCD5B4"/>
                  <w:noWrap/>
                  <w:vAlign w:val="center"/>
                  <w:hideMark/>
                </w:tcPr>
                <w:p w14:paraId="030886E7"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18%</w:t>
                  </w:r>
                </w:p>
              </w:tc>
              <w:tc>
                <w:tcPr>
                  <w:tcW w:w="899" w:type="dxa"/>
                  <w:tcBorders>
                    <w:top w:val="nil"/>
                    <w:left w:val="nil"/>
                    <w:bottom w:val="single" w:sz="8" w:space="0" w:color="FFFFFF"/>
                    <w:right w:val="single" w:sz="8" w:space="0" w:color="FFFFFF"/>
                  </w:tcBorders>
                  <w:shd w:val="clear" w:color="000000" w:fill="FCD5B4"/>
                  <w:noWrap/>
                  <w:vAlign w:val="center"/>
                  <w:hideMark/>
                </w:tcPr>
                <w:p w14:paraId="792C05AF"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20%</w:t>
                  </w:r>
                </w:p>
              </w:tc>
              <w:tc>
                <w:tcPr>
                  <w:tcW w:w="898" w:type="dxa"/>
                  <w:tcBorders>
                    <w:top w:val="nil"/>
                    <w:left w:val="nil"/>
                    <w:bottom w:val="single" w:sz="8" w:space="0" w:color="FFFFFF"/>
                    <w:right w:val="single" w:sz="8" w:space="0" w:color="FFFFFF"/>
                  </w:tcBorders>
                  <w:shd w:val="clear" w:color="000000" w:fill="FCD5B4"/>
                  <w:noWrap/>
                  <w:vAlign w:val="center"/>
                  <w:hideMark/>
                </w:tcPr>
                <w:p w14:paraId="28E30C8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56%</w:t>
                  </w:r>
                </w:p>
              </w:tc>
              <w:tc>
                <w:tcPr>
                  <w:tcW w:w="1127" w:type="dxa"/>
                  <w:tcBorders>
                    <w:top w:val="nil"/>
                    <w:left w:val="nil"/>
                    <w:bottom w:val="single" w:sz="8" w:space="0" w:color="FFFFFF"/>
                    <w:right w:val="single" w:sz="8" w:space="0" w:color="FFFFFF"/>
                  </w:tcBorders>
                  <w:shd w:val="clear" w:color="000000" w:fill="FCD5B4"/>
                  <w:noWrap/>
                  <w:vAlign w:val="center"/>
                  <w:hideMark/>
                </w:tcPr>
                <w:p w14:paraId="29637A12"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企业债5Y</w:t>
                  </w:r>
                </w:p>
              </w:tc>
              <w:tc>
                <w:tcPr>
                  <w:tcW w:w="898" w:type="dxa"/>
                  <w:tcBorders>
                    <w:top w:val="nil"/>
                    <w:left w:val="nil"/>
                    <w:bottom w:val="single" w:sz="8" w:space="0" w:color="FFFFFF"/>
                    <w:right w:val="single" w:sz="8" w:space="0" w:color="FFFFFF"/>
                  </w:tcBorders>
                  <w:shd w:val="clear" w:color="000000" w:fill="FCD5B4"/>
                  <w:noWrap/>
                  <w:vAlign w:val="center"/>
                  <w:hideMark/>
                </w:tcPr>
                <w:p w14:paraId="684EC9C5"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14%</w:t>
                  </w:r>
                </w:p>
              </w:tc>
              <w:tc>
                <w:tcPr>
                  <w:tcW w:w="898" w:type="dxa"/>
                  <w:tcBorders>
                    <w:top w:val="nil"/>
                    <w:left w:val="nil"/>
                    <w:bottom w:val="single" w:sz="8" w:space="0" w:color="FFFFFF"/>
                    <w:right w:val="single" w:sz="8" w:space="0" w:color="FFFFFF"/>
                  </w:tcBorders>
                  <w:shd w:val="clear" w:color="000000" w:fill="FCD5B4"/>
                  <w:noWrap/>
                  <w:vAlign w:val="center"/>
                  <w:hideMark/>
                </w:tcPr>
                <w:p w14:paraId="319F847A"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9%</w:t>
                  </w:r>
                </w:p>
              </w:tc>
              <w:tc>
                <w:tcPr>
                  <w:tcW w:w="898" w:type="dxa"/>
                  <w:tcBorders>
                    <w:top w:val="nil"/>
                    <w:left w:val="nil"/>
                    <w:bottom w:val="single" w:sz="8" w:space="0" w:color="FFFFFF"/>
                    <w:right w:val="single" w:sz="8" w:space="0" w:color="FFFFFF"/>
                  </w:tcBorders>
                  <w:shd w:val="clear" w:color="000000" w:fill="FCD5B4"/>
                  <w:noWrap/>
                  <w:vAlign w:val="center"/>
                  <w:hideMark/>
                </w:tcPr>
                <w:p w14:paraId="4FAA041A"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12%</w:t>
                  </w:r>
                </w:p>
              </w:tc>
              <w:tc>
                <w:tcPr>
                  <w:tcW w:w="898" w:type="dxa"/>
                  <w:tcBorders>
                    <w:top w:val="nil"/>
                    <w:left w:val="nil"/>
                    <w:bottom w:val="single" w:sz="8" w:space="0" w:color="FFFFFF"/>
                    <w:right w:val="single" w:sz="8" w:space="0" w:color="FFFFFF"/>
                  </w:tcBorders>
                  <w:shd w:val="clear" w:color="000000" w:fill="FCD5B4"/>
                  <w:noWrap/>
                  <w:vAlign w:val="center"/>
                  <w:hideMark/>
                </w:tcPr>
                <w:p w14:paraId="486C33BC"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69%</w:t>
                  </w:r>
                </w:p>
              </w:tc>
            </w:tr>
            <w:tr w:rsidR="00A917BC" w:rsidRPr="00A917BC" w14:paraId="1D2EABE6" w14:textId="77777777" w:rsidTr="00A917BC">
              <w:trPr>
                <w:trHeight w:val="290"/>
              </w:trPr>
              <w:tc>
                <w:tcPr>
                  <w:tcW w:w="1325" w:type="dxa"/>
                  <w:tcBorders>
                    <w:top w:val="nil"/>
                    <w:left w:val="nil"/>
                    <w:bottom w:val="single" w:sz="8" w:space="0" w:color="FFFFFF"/>
                    <w:right w:val="single" w:sz="8" w:space="0" w:color="FFFFFF"/>
                  </w:tcBorders>
                  <w:shd w:val="clear" w:color="000000" w:fill="FDE9D9"/>
                  <w:noWrap/>
                  <w:vAlign w:val="center"/>
                  <w:hideMark/>
                </w:tcPr>
                <w:p w14:paraId="5AC33188"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企业债7Y</w:t>
                  </w:r>
                </w:p>
              </w:tc>
              <w:tc>
                <w:tcPr>
                  <w:tcW w:w="898" w:type="dxa"/>
                  <w:tcBorders>
                    <w:top w:val="nil"/>
                    <w:left w:val="nil"/>
                    <w:bottom w:val="single" w:sz="8" w:space="0" w:color="FFFFFF"/>
                    <w:right w:val="single" w:sz="8" w:space="0" w:color="FFFFFF"/>
                  </w:tcBorders>
                  <w:shd w:val="clear" w:color="000000" w:fill="FDE9D9"/>
                  <w:noWrap/>
                  <w:vAlign w:val="center"/>
                  <w:hideMark/>
                </w:tcPr>
                <w:p w14:paraId="0D502552"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18%</w:t>
                  </w:r>
                </w:p>
              </w:tc>
              <w:tc>
                <w:tcPr>
                  <w:tcW w:w="899" w:type="dxa"/>
                  <w:tcBorders>
                    <w:top w:val="nil"/>
                    <w:left w:val="nil"/>
                    <w:bottom w:val="single" w:sz="8" w:space="0" w:color="FFFFFF"/>
                    <w:right w:val="single" w:sz="8" w:space="0" w:color="FFFFFF"/>
                  </w:tcBorders>
                  <w:shd w:val="clear" w:color="000000" w:fill="FDE9D9"/>
                  <w:noWrap/>
                  <w:vAlign w:val="center"/>
                  <w:hideMark/>
                </w:tcPr>
                <w:p w14:paraId="56B4786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11%</w:t>
                  </w:r>
                </w:p>
              </w:tc>
              <w:tc>
                <w:tcPr>
                  <w:tcW w:w="899" w:type="dxa"/>
                  <w:tcBorders>
                    <w:top w:val="nil"/>
                    <w:left w:val="nil"/>
                    <w:bottom w:val="single" w:sz="8" w:space="0" w:color="FFFFFF"/>
                    <w:right w:val="single" w:sz="8" w:space="0" w:color="FFFFFF"/>
                  </w:tcBorders>
                  <w:shd w:val="clear" w:color="000000" w:fill="FDE9D9"/>
                  <w:noWrap/>
                  <w:vAlign w:val="center"/>
                  <w:hideMark/>
                </w:tcPr>
                <w:p w14:paraId="647B06EA"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13%</w:t>
                  </w:r>
                </w:p>
              </w:tc>
              <w:tc>
                <w:tcPr>
                  <w:tcW w:w="898" w:type="dxa"/>
                  <w:tcBorders>
                    <w:top w:val="nil"/>
                    <w:left w:val="nil"/>
                    <w:bottom w:val="single" w:sz="8" w:space="0" w:color="FFFFFF"/>
                    <w:right w:val="single" w:sz="8" w:space="0" w:color="FFFFFF"/>
                  </w:tcBorders>
                  <w:shd w:val="clear" w:color="000000" w:fill="FDE9D9"/>
                  <w:noWrap/>
                  <w:vAlign w:val="center"/>
                  <w:hideMark/>
                </w:tcPr>
                <w:p w14:paraId="5EC52B8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49%</w:t>
                  </w:r>
                </w:p>
              </w:tc>
              <w:tc>
                <w:tcPr>
                  <w:tcW w:w="1127" w:type="dxa"/>
                  <w:tcBorders>
                    <w:top w:val="nil"/>
                    <w:left w:val="nil"/>
                    <w:bottom w:val="single" w:sz="8" w:space="0" w:color="FFFFFF"/>
                    <w:right w:val="single" w:sz="8" w:space="0" w:color="FFFFFF"/>
                  </w:tcBorders>
                  <w:shd w:val="clear" w:color="000000" w:fill="FDE9D9"/>
                  <w:noWrap/>
                  <w:vAlign w:val="center"/>
                  <w:hideMark/>
                </w:tcPr>
                <w:p w14:paraId="4D22CE4D" w14:textId="77777777" w:rsidR="00A917BC" w:rsidRPr="00A917BC" w:rsidRDefault="00A917BC" w:rsidP="00A917BC">
                  <w:pPr>
                    <w:widowControl/>
                    <w:jc w:val="center"/>
                    <w:rPr>
                      <w:rFonts w:ascii="楷体" w:eastAsia="楷体" w:hAnsi="楷体" w:cs="宋体"/>
                      <w:color w:val="000000"/>
                      <w:kern w:val="0"/>
                      <w:sz w:val="20"/>
                      <w:szCs w:val="20"/>
                    </w:rPr>
                  </w:pPr>
                  <w:r w:rsidRPr="00A917BC">
                    <w:rPr>
                      <w:rFonts w:ascii="楷体" w:eastAsia="楷体" w:hAnsi="楷体" w:cs="宋体" w:hint="eastAsia"/>
                      <w:color w:val="000000"/>
                      <w:kern w:val="0"/>
                      <w:sz w:val="20"/>
                      <w:szCs w:val="20"/>
                    </w:rPr>
                    <w:t>企业债7Y</w:t>
                  </w:r>
                </w:p>
              </w:tc>
              <w:tc>
                <w:tcPr>
                  <w:tcW w:w="898" w:type="dxa"/>
                  <w:tcBorders>
                    <w:top w:val="nil"/>
                    <w:left w:val="nil"/>
                    <w:bottom w:val="single" w:sz="8" w:space="0" w:color="FFFFFF"/>
                    <w:right w:val="single" w:sz="8" w:space="0" w:color="FFFFFF"/>
                  </w:tcBorders>
                  <w:shd w:val="clear" w:color="000000" w:fill="FDE9D9"/>
                  <w:noWrap/>
                  <w:vAlign w:val="center"/>
                  <w:hideMark/>
                </w:tcPr>
                <w:p w14:paraId="4B514307"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8%</w:t>
                  </w:r>
                </w:p>
              </w:tc>
              <w:tc>
                <w:tcPr>
                  <w:tcW w:w="898" w:type="dxa"/>
                  <w:tcBorders>
                    <w:top w:val="nil"/>
                    <w:left w:val="nil"/>
                    <w:bottom w:val="single" w:sz="8" w:space="0" w:color="FFFFFF"/>
                    <w:right w:val="single" w:sz="8" w:space="0" w:color="FFFFFF"/>
                  </w:tcBorders>
                  <w:shd w:val="clear" w:color="000000" w:fill="FDE9D9"/>
                  <w:noWrap/>
                  <w:vAlign w:val="center"/>
                  <w:hideMark/>
                </w:tcPr>
                <w:p w14:paraId="07854255"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3%</w:t>
                  </w:r>
                </w:p>
              </w:tc>
              <w:tc>
                <w:tcPr>
                  <w:tcW w:w="898" w:type="dxa"/>
                  <w:tcBorders>
                    <w:top w:val="nil"/>
                    <w:left w:val="nil"/>
                    <w:bottom w:val="single" w:sz="8" w:space="0" w:color="FFFFFF"/>
                    <w:right w:val="single" w:sz="8" w:space="0" w:color="FFFFFF"/>
                  </w:tcBorders>
                  <w:shd w:val="clear" w:color="000000" w:fill="FDE9D9"/>
                  <w:noWrap/>
                  <w:vAlign w:val="center"/>
                  <w:hideMark/>
                </w:tcPr>
                <w:p w14:paraId="1E4E61BE"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6%</w:t>
                  </w:r>
                </w:p>
              </w:tc>
              <w:tc>
                <w:tcPr>
                  <w:tcW w:w="898" w:type="dxa"/>
                  <w:tcBorders>
                    <w:top w:val="nil"/>
                    <w:left w:val="nil"/>
                    <w:bottom w:val="single" w:sz="8" w:space="0" w:color="FFFFFF"/>
                    <w:right w:val="single" w:sz="8" w:space="0" w:color="FFFFFF"/>
                  </w:tcBorders>
                  <w:shd w:val="clear" w:color="000000" w:fill="FDE9D9"/>
                  <w:noWrap/>
                  <w:vAlign w:val="center"/>
                  <w:hideMark/>
                </w:tcPr>
                <w:p w14:paraId="4008659A"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58%</w:t>
                  </w:r>
                </w:p>
              </w:tc>
            </w:tr>
            <w:tr w:rsidR="00A917BC" w:rsidRPr="00A917BC" w14:paraId="075C24DA" w14:textId="77777777" w:rsidTr="00A917BC">
              <w:trPr>
                <w:trHeight w:val="290"/>
              </w:trPr>
              <w:tc>
                <w:tcPr>
                  <w:tcW w:w="1325" w:type="dxa"/>
                  <w:tcBorders>
                    <w:top w:val="nil"/>
                    <w:left w:val="nil"/>
                    <w:bottom w:val="single" w:sz="8" w:space="0" w:color="FFFFFF"/>
                    <w:right w:val="single" w:sz="8" w:space="0" w:color="FFFFFF"/>
                  </w:tcBorders>
                  <w:shd w:val="clear" w:color="000000" w:fill="FCD5B4"/>
                  <w:noWrap/>
                  <w:vAlign w:val="center"/>
                  <w:hideMark/>
                </w:tcPr>
                <w:p w14:paraId="22856010"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3Y</w:t>
                  </w:r>
                </w:p>
              </w:tc>
              <w:tc>
                <w:tcPr>
                  <w:tcW w:w="898" w:type="dxa"/>
                  <w:tcBorders>
                    <w:top w:val="nil"/>
                    <w:left w:val="nil"/>
                    <w:bottom w:val="single" w:sz="8" w:space="0" w:color="FFFFFF"/>
                    <w:right w:val="single" w:sz="8" w:space="0" w:color="FFFFFF"/>
                  </w:tcBorders>
                  <w:shd w:val="clear" w:color="000000" w:fill="FCD5B4"/>
                  <w:noWrap/>
                  <w:vAlign w:val="center"/>
                  <w:hideMark/>
                </w:tcPr>
                <w:p w14:paraId="71C3008E"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29%</w:t>
                  </w:r>
                </w:p>
              </w:tc>
              <w:tc>
                <w:tcPr>
                  <w:tcW w:w="899" w:type="dxa"/>
                  <w:tcBorders>
                    <w:top w:val="nil"/>
                    <w:left w:val="nil"/>
                    <w:bottom w:val="single" w:sz="8" w:space="0" w:color="FFFFFF"/>
                    <w:right w:val="single" w:sz="8" w:space="0" w:color="FFFFFF"/>
                  </w:tcBorders>
                  <w:shd w:val="clear" w:color="000000" w:fill="FCD5B4"/>
                  <w:noWrap/>
                  <w:vAlign w:val="center"/>
                  <w:hideMark/>
                </w:tcPr>
                <w:p w14:paraId="60F93102"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26%</w:t>
                  </w:r>
                </w:p>
              </w:tc>
              <w:tc>
                <w:tcPr>
                  <w:tcW w:w="899" w:type="dxa"/>
                  <w:tcBorders>
                    <w:top w:val="nil"/>
                    <w:left w:val="nil"/>
                    <w:bottom w:val="single" w:sz="8" w:space="0" w:color="FFFFFF"/>
                    <w:right w:val="single" w:sz="8" w:space="0" w:color="FFFFFF"/>
                  </w:tcBorders>
                  <w:shd w:val="clear" w:color="000000" w:fill="FCD5B4"/>
                  <w:noWrap/>
                  <w:vAlign w:val="center"/>
                  <w:hideMark/>
                </w:tcPr>
                <w:p w14:paraId="52DA0972"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24%</w:t>
                  </w:r>
                </w:p>
              </w:tc>
              <w:tc>
                <w:tcPr>
                  <w:tcW w:w="898" w:type="dxa"/>
                  <w:tcBorders>
                    <w:top w:val="nil"/>
                    <w:left w:val="nil"/>
                    <w:bottom w:val="single" w:sz="8" w:space="0" w:color="FFFFFF"/>
                    <w:right w:val="single" w:sz="8" w:space="0" w:color="FFFFFF"/>
                  </w:tcBorders>
                  <w:shd w:val="clear" w:color="000000" w:fill="FCD5B4"/>
                  <w:noWrap/>
                  <w:vAlign w:val="center"/>
                  <w:hideMark/>
                </w:tcPr>
                <w:p w14:paraId="11A92D9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64%</w:t>
                  </w:r>
                </w:p>
              </w:tc>
              <w:tc>
                <w:tcPr>
                  <w:tcW w:w="1127" w:type="dxa"/>
                  <w:tcBorders>
                    <w:top w:val="nil"/>
                    <w:left w:val="nil"/>
                    <w:bottom w:val="single" w:sz="8" w:space="0" w:color="FFFFFF"/>
                    <w:right w:val="single" w:sz="8" w:space="0" w:color="FFFFFF"/>
                  </w:tcBorders>
                  <w:shd w:val="clear" w:color="000000" w:fill="FCD5B4"/>
                  <w:noWrap/>
                  <w:vAlign w:val="center"/>
                  <w:hideMark/>
                </w:tcPr>
                <w:p w14:paraId="22469ECC"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3Y</w:t>
                  </w:r>
                </w:p>
              </w:tc>
              <w:tc>
                <w:tcPr>
                  <w:tcW w:w="898" w:type="dxa"/>
                  <w:tcBorders>
                    <w:top w:val="nil"/>
                    <w:left w:val="nil"/>
                    <w:bottom w:val="single" w:sz="8" w:space="0" w:color="FFFFFF"/>
                    <w:right w:val="single" w:sz="8" w:space="0" w:color="FFFFFF"/>
                  </w:tcBorders>
                  <w:shd w:val="clear" w:color="000000" w:fill="FCD5B4"/>
                  <w:noWrap/>
                  <w:vAlign w:val="center"/>
                  <w:hideMark/>
                </w:tcPr>
                <w:p w14:paraId="0A46C0A5"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20%</w:t>
                  </w:r>
                </w:p>
              </w:tc>
              <w:tc>
                <w:tcPr>
                  <w:tcW w:w="898" w:type="dxa"/>
                  <w:tcBorders>
                    <w:top w:val="nil"/>
                    <w:left w:val="nil"/>
                    <w:bottom w:val="single" w:sz="8" w:space="0" w:color="FFFFFF"/>
                    <w:right w:val="single" w:sz="8" w:space="0" w:color="FFFFFF"/>
                  </w:tcBorders>
                  <w:shd w:val="clear" w:color="000000" w:fill="FCD5B4"/>
                  <w:noWrap/>
                  <w:vAlign w:val="center"/>
                  <w:hideMark/>
                </w:tcPr>
                <w:p w14:paraId="575926D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21%</w:t>
                  </w:r>
                </w:p>
              </w:tc>
              <w:tc>
                <w:tcPr>
                  <w:tcW w:w="898" w:type="dxa"/>
                  <w:tcBorders>
                    <w:top w:val="nil"/>
                    <w:left w:val="nil"/>
                    <w:bottom w:val="single" w:sz="8" w:space="0" w:color="FFFFFF"/>
                    <w:right w:val="single" w:sz="8" w:space="0" w:color="FFFFFF"/>
                  </w:tcBorders>
                  <w:shd w:val="clear" w:color="000000" w:fill="FCD5B4"/>
                  <w:noWrap/>
                  <w:vAlign w:val="center"/>
                  <w:hideMark/>
                </w:tcPr>
                <w:p w14:paraId="12333EED"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22%</w:t>
                  </w:r>
                </w:p>
              </w:tc>
              <w:tc>
                <w:tcPr>
                  <w:tcW w:w="898" w:type="dxa"/>
                  <w:tcBorders>
                    <w:top w:val="nil"/>
                    <w:left w:val="nil"/>
                    <w:bottom w:val="single" w:sz="8" w:space="0" w:color="FFFFFF"/>
                    <w:right w:val="single" w:sz="8" w:space="0" w:color="FFFFFF"/>
                  </w:tcBorders>
                  <w:shd w:val="clear" w:color="000000" w:fill="FCD5B4"/>
                  <w:noWrap/>
                  <w:vAlign w:val="center"/>
                  <w:hideMark/>
                </w:tcPr>
                <w:p w14:paraId="5301CE82"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77%</w:t>
                  </w:r>
                </w:p>
              </w:tc>
            </w:tr>
            <w:tr w:rsidR="00A917BC" w:rsidRPr="00A917BC" w14:paraId="7103EE11" w14:textId="77777777" w:rsidTr="00A917BC">
              <w:trPr>
                <w:trHeight w:val="290"/>
              </w:trPr>
              <w:tc>
                <w:tcPr>
                  <w:tcW w:w="1325" w:type="dxa"/>
                  <w:tcBorders>
                    <w:top w:val="nil"/>
                    <w:left w:val="nil"/>
                    <w:bottom w:val="single" w:sz="8" w:space="0" w:color="FFFFFF"/>
                    <w:right w:val="single" w:sz="8" w:space="0" w:color="FFFFFF"/>
                  </w:tcBorders>
                  <w:shd w:val="clear" w:color="000000" w:fill="FDE9D9"/>
                  <w:noWrap/>
                  <w:vAlign w:val="center"/>
                  <w:hideMark/>
                </w:tcPr>
                <w:p w14:paraId="74FE6794"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5Y</w:t>
                  </w:r>
                </w:p>
              </w:tc>
              <w:tc>
                <w:tcPr>
                  <w:tcW w:w="898" w:type="dxa"/>
                  <w:tcBorders>
                    <w:top w:val="nil"/>
                    <w:left w:val="nil"/>
                    <w:bottom w:val="single" w:sz="8" w:space="0" w:color="FFFFFF"/>
                    <w:right w:val="single" w:sz="8" w:space="0" w:color="FFFFFF"/>
                  </w:tcBorders>
                  <w:shd w:val="clear" w:color="000000" w:fill="FDE9D9"/>
                  <w:noWrap/>
                  <w:vAlign w:val="center"/>
                  <w:hideMark/>
                </w:tcPr>
                <w:p w14:paraId="5ED8954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16%</w:t>
                  </w:r>
                </w:p>
              </w:tc>
              <w:tc>
                <w:tcPr>
                  <w:tcW w:w="899" w:type="dxa"/>
                  <w:tcBorders>
                    <w:top w:val="nil"/>
                    <w:left w:val="nil"/>
                    <w:bottom w:val="single" w:sz="8" w:space="0" w:color="FFFFFF"/>
                    <w:right w:val="single" w:sz="8" w:space="0" w:color="FFFFFF"/>
                  </w:tcBorders>
                  <w:shd w:val="clear" w:color="000000" w:fill="FDE9D9"/>
                  <w:noWrap/>
                  <w:vAlign w:val="center"/>
                  <w:hideMark/>
                </w:tcPr>
                <w:p w14:paraId="35E45A41"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22%</w:t>
                  </w:r>
                </w:p>
              </w:tc>
              <w:tc>
                <w:tcPr>
                  <w:tcW w:w="899" w:type="dxa"/>
                  <w:tcBorders>
                    <w:top w:val="nil"/>
                    <w:left w:val="nil"/>
                    <w:bottom w:val="single" w:sz="8" w:space="0" w:color="FFFFFF"/>
                    <w:right w:val="single" w:sz="8" w:space="0" w:color="FFFFFF"/>
                  </w:tcBorders>
                  <w:shd w:val="clear" w:color="000000" w:fill="FDE9D9"/>
                  <w:noWrap/>
                  <w:vAlign w:val="center"/>
                  <w:hideMark/>
                </w:tcPr>
                <w:p w14:paraId="14673AB2"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23%</w:t>
                  </w:r>
                </w:p>
              </w:tc>
              <w:tc>
                <w:tcPr>
                  <w:tcW w:w="898" w:type="dxa"/>
                  <w:tcBorders>
                    <w:top w:val="nil"/>
                    <w:left w:val="nil"/>
                    <w:bottom w:val="single" w:sz="8" w:space="0" w:color="FFFFFF"/>
                    <w:right w:val="single" w:sz="8" w:space="0" w:color="FFFFFF"/>
                  </w:tcBorders>
                  <w:shd w:val="clear" w:color="000000" w:fill="FDE9D9"/>
                  <w:noWrap/>
                  <w:vAlign w:val="center"/>
                  <w:hideMark/>
                </w:tcPr>
                <w:p w14:paraId="5743724A"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71%</w:t>
                  </w:r>
                </w:p>
              </w:tc>
              <w:tc>
                <w:tcPr>
                  <w:tcW w:w="1127" w:type="dxa"/>
                  <w:tcBorders>
                    <w:top w:val="nil"/>
                    <w:left w:val="nil"/>
                    <w:bottom w:val="single" w:sz="8" w:space="0" w:color="FFFFFF"/>
                    <w:right w:val="single" w:sz="8" w:space="0" w:color="FFFFFF"/>
                  </w:tcBorders>
                  <w:shd w:val="clear" w:color="000000" w:fill="FDE9D9"/>
                  <w:noWrap/>
                  <w:vAlign w:val="center"/>
                  <w:hideMark/>
                </w:tcPr>
                <w:p w14:paraId="5184607E"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5Y</w:t>
                  </w:r>
                </w:p>
              </w:tc>
              <w:tc>
                <w:tcPr>
                  <w:tcW w:w="898" w:type="dxa"/>
                  <w:tcBorders>
                    <w:top w:val="nil"/>
                    <w:left w:val="nil"/>
                    <w:bottom w:val="single" w:sz="8" w:space="0" w:color="FFFFFF"/>
                    <w:right w:val="single" w:sz="8" w:space="0" w:color="FFFFFF"/>
                  </w:tcBorders>
                  <w:shd w:val="clear" w:color="000000" w:fill="FDE9D9"/>
                  <w:noWrap/>
                  <w:vAlign w:val="center"/>
                  <w:hideMark/>
                </w:tcPr>
                <w:p w14:paraId="5E7692E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11%</w:t>
                  </w:r>
                </w:p>
              </w:tc>
              <w:tc>
                <w:tcPr>
                  <w:tcW w:w="898" w:type="dxa"/>
                  <w:tcBorders>
                    <w:top w:val="nil"/>
                    <w:left w:val="nil"/>
                    <w:bottom w:val="single" w:sz="8" w:space="0" w:color="FFFFFF"/>
                    <w:right w:val="single" w:sz="8" w:space="0" w:color="FFFFFF"/>
                  </w:tcBorders>
                  <w:shd w:val="clear" w:color="000000" w:fill="FDE9D9"/>
                  <w:noWrap/>
                  <w:vAlign w:val="center"/>
                  <w:hideMark/>
                </w:tcPr>
                <w:p w14:paraId="05EF36B6"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23%</w:t>
                  </w:r>
                </w:p>
              </w:tc>
              <w:tc>
                <w:tcPr>
                  <w:tcW w:w="898" w:type="dxa"/>
                  <w:tcBorders>
                    <w:top w:val="nil"/>
                    <w:left w:val="nil"/>
                    <w:bottom w:val="single" w:sz="8" w:space="0" w:color="FFFFFF"/>
                    <w:right w:val="single" w:sz="8" w:space="0" w:color="FFFFFF"/>
                  </w:tcBorders>
                  <w:shd w:val="clear" w:color="000000" w:fill="FDE9D9"/>
                  <w:noWrap/>
                  <w:vAlign w:val="center"/>
                  <w:hideMark/>
                </w:tcPr>
                <w:p w14:paraId="4512A8D4"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24%</w:t>
                  </w:r>
                </w:p>
              </w:tc>
              <w:tc>
                <w:tcPr>
                  <w:tcW w:w="898" w:type="dxa"/>
                  <w:tcBorders>
                    <w:top w:val="nil"/>
                    <w:left w:val="nil"/>
                    <w:bottom w:val="single" w:sz="8" w:space="0" w:color="FFFFFF"/>
                    <w:right w:val="single" w:sz="8" w:space="0" w:color="FFFFFF"/>
                  </w:tcBorders>
                  <w:shd w:val="clear" w:color="000000" w:fill="FFC7CE"/>
                  <w:noWrap/>
                  <w:vAlign w:val="center"/>
                  <w:hideMark/>
                </w:tcPr>
                <w:p w14:paraId="77E39624" w14:textId="77777777" w:rsidR="00A917BC" w:rsidRPr="00A917BC" w:rsidRDefault="00A917BC" w:rsidP="00A917BC">
                  <w:pPr>
                    <w:widowControl/>
                    <w:jc w:val="center"/>
                    <w:rPr>
                      <w:rFonts w:eastAsia="等线" w:cs="Calibri"/>
                      <w:color w:val="9C0006"/>
                      <w:kern w:val="0"/>
                      <w:szCs w:val="21"/>
                    </w:rPr>
                  </w:pPr>
                  <w:r w:rsidRPr="00A917BC">
                    <w:rPr>
                      <w:rFonts w:eastAsia="等线" w:cs="Calibri"/>
                      <w:color w:val="9C0006"/>
                      <w:kern w:val="0"/>
                      <w:szCs w:val="21"/>
                    </w:rPr>
                    <w:t>81%</w:t>
                  </w:r>
                </w:p>
              </w:tc>
            </w:tr>
            <w:tr w:rsidR="00A917BC" w:rsidRPr="00A917BC" w14:paraId="491913CC" w14:textId="77777777" w:rsidTr="00A917BC">
              <w:trPr>
                <w:trHeight w:val="290"/>
              </w:trPr>
              <w:tc>
                <w:tcPr>
                  <w:tcW w:w="1325" w:type="dxa"/>
                  <w:tcBorders>
                    <w:top w:val="nil"/>
                    <w:left w:val="nil"/>
                    <w:bottom w:val="nil"/>
                    <w:right w:val="nil"/>
                  </w:tcBorders>
                  <w:shd w:val="clear" w:color="000000" w:fill="FCD5B4"/>
                  <w:noWrap/>
                  <w:vAlign w:val="center"/>
                  <w:hideMark/>
                </w:tcPr>
                <w:p w14:paraId="3ED10048"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7Y</w:t>
                  </w:r>
                </w:p>
              </w:tc>
              <w:tc>
                <w:tcPr>
                  <w:tcW w:w="898" w:type="dxa"/>
                  <w:tcBorders>
                    <w:top w:val="nil"/>
                    <w:left w:val="nil"/>
                    <w:bottom w:val="single" w:sz="8" w:space="0" w:color="FFFFFF"/>
                    <w:right w:val="single" w:sz="8" w:space="0" w:color="FFFFFF"/>
                  </w:tcBorders>
                  <w:shd w:val="clear" w:color="000000" w:fill="FCD5B4"/>
                  <w:noWrap/>
                  <w:vAlign w:val="center"/>
                  <w:hideMark/>
                </w:tcPr>
                <w:p w14:paraId="7304989A"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14%</w:t>
                  </w:r>
                </w:p>
              </w:tc>
              <w:tc>
                <w:tcPr>
                  <w:tcW w:w="899" w:type="dxa"/>
                  <w:tcBorders>
                    <w:top w:val="nil"/>
                    <w:left w:val="nil"/>
                    <w:bottom w:val="single" w:sz="8" w:space="0" w:color="FFFFFF"/>
                    <w:right w:val="single" w:sz="8" w:space="0" w:color="FFFFFF"/>
                  </w:tcBorders>
                  <w:shd w:val="clear" w:color="000000" w:fill="FCD5B4"/>
                  <w:noWrap/>
                  <w:vAlign w:val="center"/>
                  <w:hideMark/>
                </w:tcPr>
                <w:p w14:paraId="125F52F8"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18%</w:t>
                  </w:r>
                </w:p>
              </w:tc>
              <w:tc>
                <w:tcPr>
                  <w:tcW w:w="899" w:type="dxa"/>
                  <w:tcBorders>
                    <w:top w:val="nil"/>
                    <w:left w:val="nil"/>
                    <w:bottom w:val="single" w:sz="8" w:space="0" w:color="FFFFFF"/>
                    <w:right w:val="single" w:sz="8" w:space="0" w:color="FFFFFF"/>
                  </w:tcBorders>
                  <w:shd w:val="clear" w:color="000000" w:fill="FCD5B4"/>
                  <w:noWrap/>
                  <w:vAlign w:val="center"/>
                  <w:hideMark/>
                </w:tcPr>
                <w:p w14:paraId="6DFEB3DB"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18%</w:t>
                  </w:r>
                </w:p>
              </w:tc>
              <w:tc>
                <w:tcPr>
                  <w:tcW w:w="898" w:type="dxa"/>
                  <w:tcBorders>
                    <w:top w:val="nil"/>
                    <w:left w:val="nil"/>
                    <w:bottom w:val="single" w:sz="8" w:space="0" w:color="FFFFFF"/>
                    <w:right w:val="single" w:sz="8" w:space="0" w:color="FFFFFF"/>
                  </w:tcBorders>
                  <w:shd w:val="clear" w:color="000000" w:fill="FCD5B4"/>
                  <w:noWrap/>
                  <w:vAlign w:val="center"/>
                  <w:hideMark/>
                </w:tcPr>
                <w:p w14:paraId="5F46C88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66%</w:t>
                  </w:r>
                </w:p>
              </w:tc>
              <w:tc>
                <w:tcPr>
                  <w:tcW w:w="1127" w:type="dxa"/>
                  <w:tcBorders>
                    <w:top w:val="nil"/>
                    <w:left w:val="nil"/>
                    <w:bottom w:val="nil"/>
                    <w:right w:val="nil"/>
                  </w:tcBorders>
                  <w:shd w:val="clear" w:color="000000" w:fill="FCD5B4"/>
                  <w:noWrap/>
                  <w:vAlign w:val="center"/>
                  <w:hideMark/>
                </w:tcPr>
                <w:p w14:paraId="3986BEBA" w14:textId="77777777" w:rsidR="00A917BC" w:rsidRPr="00A917BC" w:rsidRDefault="00A917BC" w:rsidP="00A917BC">
                  <w:pPr>
                    <w:widowControl/>
                    <w:jc w:val="center"/>
                    <w:rPr>
                      <w:rFonts w:ascii="楷体" w:eastAsia="楷体" w:hAnsi="楷体" w:cs="宋体"/>
                      <w:color w:val="000000"/>
                      <w:kern w:val="0"/>
                      <w:sz w:val="20"/>
                      <w:szCs w:val="20"/>
                    </w:rPr>
                  </w:pPr>
                  <w:proofErr w:type="gramStart"/>
                  <w:r w:rsidRPr="00A917BC">
                    <w:rPr>
                      <w:rFonts w:ascii="楷体" w:eastAsia="楷体" w:hAnsi="楷体" w:cs="宋体" w:hint="eastAsia"/>
                      <w:color w:val="000000"/>
                      <w:kern w:val="0"/>
                      <w:sz w:val="20"/>
                      <w:szCs w:val="20"/>
                    </w:rPr>
                    <w:t>城投债</w:t>
                  </w:r>
                  <w:proofErr w:type="gramEnd"/>
                  <w:r w:rsidRPr="00A917BC">
                    <w:rPr>
                      <w:rFonts w:ascii="楷体" w:eastAsia="楷体" w:hAnsi="楷体" w:cs="宋体" w:hint="eastAsia"/>
                      <w:color w:val="000000"/>
                      <w:kern w:val="0"/>
                      <w:sz w:val="20"/>
                      <w:szCs w:val="20"/>
                    </w:rPr>
                    <w:t>7Y</w:t>
                  </w:r>
                </w:p>
              </w:tc>
              <w:tc>
                <w:tcPr>
                  <w:tcW w:w="898" w:type="dxa"/>
                  <w:tcBorders>
                    <w:top w:val="nil"/>
                    <w:left w:val="nil"/>
                    <w:bottom w:val="single" w:sz="8" w:space="0" w:color="FFFFFF"/>
                    <w:right w:val="single" w:sz="8" w:space="0" w:color="FFFFFF"/>
                  </w:tcBorders>
                  <w:shd w:val="clear" w:color="000000" w:fill="FCD5B4"/>
                  <w:noWrap/>
                  <w:vAlign w:val="center"/>
                  <w:hideMark/>
                </w:tcPr>
                <w:p w14:paraId="014FB273"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7%</w:t>
                  </w:r>
                </w:p>
              </w:tc>
              <w:tc>
                <w:tcPr>
                  <w:tcW w:w="898" w:type="dxa"/>
                  <w:tcBorders>
                    <w:top w:val="nil"/>
                    <w:left w:val="nil"/>
                    <w:bottom w:val="single" w:sz="8" w:space="0" w:color="FFFFFF"/>
                    <w:right w:val="single" w:sz="8" w:space="0" w:color="FFFFFF"/>
                  </w:tcBorders>
                  <w:shd w:val="clear" w:color="000000" w:fill="FCD5B4"/>
                  <w:noWrap/>
                  <w:vAlign w:val="center"/>
                  <w:hideMark/>
                </w:tcPr>
                <w:p w14:paraId="697DA730"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18%</w:t>
                  </w:r>
                </w:p>
              </w:tc>
              <w:tc>
                <w:tcPr>
                  <w:tcW w:w="898" w:type="dxa"/>
                  <w:tcBorders>
                    <w:top w:val="nil"/>
                    <w:left w:val="nil"/>
                    <w:bottom w:val="single" w:sz="8" w:space="0" w:color="FFFFFF"/>
                    <w:right w:val="single" w:sz="8" w:space="0" w:color="FFFFFF"/>
                  </w:tcBorders>
                  <w:shd w:val="clear" w:color="000000" w:fill="FCD5B4"/>
                  <w:noWrap/>
                  <w:vAlign w:val="center"/>
                  <w:hideMark/>
                </w:tcPr>
                <w:p w14:paraId="1483CC3C"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16%</w:t>
                  </w:r>
                </w:p>
              </w:tc>
              <w:tc>
                <w:tcPr>
                  <w:tcW w:w="898" w:type="dxa"/>
                  <w:tcBorders>
                    <w:top w:val="nil"/>
                    <w:left w:val="nil"/>
                    <w:bottom w:val="single" w:sz="8" w:space="0" w:color="FFFFFF"/>
                    <w:right w:val="single" w:sz="8" w:space="0" w:color="FFFFFF"/>
                  </w:tcBorders>
                  <w:shd w:val="clear" w:color="000000" w:fill="FCD5B4"/>
                  <w:noWrap/>
                  <w:vAlign w:val="center"/>
                  <w:hideMark/>
                </w:tcPr>
                <w:p w14:paraId="1F3ED90A" w14:textId="77777777" w:rsidR="00A917BC" w:rsidRPr="00A917BC" w:rsidRDefault="00A917BC" w:rsidP="00A917BC">
                  <w:pPr>
                    <w:widowControl/>
                    <w:jc w:val="center"/>
                    <w:rPr>
                      <w:rFonts w:eastAsia="等线" w:cs="Calibri"/>
                      <w:color w:val="000000"/>
                      <w:kern w:val="0"/>
                      <w:szCs w:val="21"/>
                    </w:rPr>
                  </w:pPr>
                  <w:r w:rsidRPr="00A917BC">
                    <w:rPr>
                      <w:rFonts w:eastAsia="等线" w:cs="Calibri"/>
                      <w:color w:val="000000"/>
                      <w:kern w:val="0"/>
                      <w:szCs w:val="21"/>
                    </w:rPr>
                    <w:t>79%</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6BB3E2F1"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0E322E">
        <w:rPr>
          <w:rFonts w:ascii="华文楷体" w:hAnsi="华文楷体" w:hint="eastAsia"/>
          <w:sz w:val="24"/>
          <w:szCs w:val="24"/>
          <w:lang w:eastAsia="zh-CN"/>
        </w:rPr>
        <w:t>情绪</w:t>
      </w:r>
      <w:r w:rsidR="00773AB5">
        <w:rPr>
          <w:rFonts w:ascii="华文楷体" w:hAnsi="华文楷体" w:hint="eastAsia"/>
          <w:sz w:val="24"/>
          <w:szCs w:val="24"/>
          <w:lang w:eastAsia="zh-CN"/>
        </w:rPr>
        <w:t>上</w:t>
      </w:r>
      <w:r w:rsidR="00AE0E3F">
        <w:rPr>
          <w:rFonts w:ascii="华文楷体" w:hAnsi="华文楷体" w:hint="eastAsia"/>
          <w:sz w:val="24"/>
          <w:szCs w:val="24"/>
          <w:lang w:eastAsia="zh-CN"/>
        </w:rPr>
        <w:t>周亦较弱，各主要板块下行为主，其中创业板、中证1</w:t>
      </w:r>
      <w:r w:rsidR="00AE0E3F">
        <w:rPr>
          <w:rFonts w:ascii="华文楷体" w:hAnsi="华文楷体"/>
          <w:sz w:val="24"/>
          <w:szCs w:val="24"/>
          <w:lang w:eastAsia="zh-CN"/>
        </w:rPr>
        <w:t>000</w:t>
      </w:r>
      <w:r w:rsidR="00AE0E3F">
        <w:rPr>
          <w:rFonts w:ascii="华文楷体" w:hAnsi="华文楷体" w:hint="eastAsia"/>
          <w:sz w:val="24"/>
          <w:szCs w:val="24"/>
          <w:lang w:eastAsia="zh-CN"/>
        </w:rPr>
        <w:t>、深证成指下行幅度明显</w:t>
      </w:r>
      <w:r w:rsidRPr="003926C0">
        <w:rPr>
          <w:rFonts w:ascii="华文楷体" w:hAnsi="华文楷体" w:hint="eastAsia"/>
          <w:sz w:val="24"/>
          <w:szCs w:val="24"/>
          <w:lang w:eastAsia="zh-CN"/>
        </w:rPr>
        <w:t>。</w:t>
      </w:r>
      <w:r>
        <w:rPr>
          <w:rFonts w:ascii="华文楷体" w:hAnsi="华文楷体" w:hint="eastAsia"/>
          <w:sz w:val="24"/>
          <w:szCs w:val="24"/>
          <w:lang w:eastAsia="zh-CN"/>
        </w:rPr>
        <w:t>转债</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w:t>
      </w:r>
      <w:r w:rsidR="00FA1470">
        <w:rPr>
          <w:rFonts w:ascii="华文楷体" w:hAnsi="华文楷体" w:hint="eastAsia"/>
          <w:sz w:val="24"/>
          <w:szCs w:val="24"/>
          <w:lang w:eastAsia="zh-CN"/>
        </w:rPr>
        <w:t>，</w:t>
      </w:r>
      <w:r w:rsidR="00AE0E3F" w:rsidRPr="00AE0E3F">
        <w:rPr>
          <w:rFonts w:ascii="华文楷体" w:hAnsi="华文楷体" w:hint="eastAsia"/>
          <w:sz w:val="24"/>
          <w:szCs w:val="24"/>
          <w:lang w:eastAsia="zh-CN"/>
        </w:rPr>
        <w:t>关注电子和计算机，电力设备和医药板块以及石油化工等板块。</w:t>
      </w:r>
      <w:r w:rsidR="00705D32">
        <w:rPr>
          <w:rFonts w:ascii="华文楷体" w:hAnsi="华文楷体" w:hint="eastAsia"/>
          <w:sz w:val="24"/>
          <w:szCs w:val="24"/>
          <w:lang w:eastAsia="zh-CN"/>
        </w:rPr>
        <w:t>市场表现上</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AE0E3F">
        <w:rPr>
          <w:rFonts w:ascii="华文楷体" w:hAnsi="华文楷体" w:hint="eastAsia"/>
          <w:sz w:val="24"/>
          <w:szCs w:val="24"/>
          <w:lang w:eastAsia="zh-CN"/>
        </w:rPr>
        <w:t>-</w:t>
      </w:r>
      <w:r w:rsidR="00AE0E3F">
        <w:rPr>
          <w:rFonts w:ascii="华文楷体" w:hAnsi="华文楷体"/>
          <w:sz w:val="24"/>
          <w:szCs w:val="24"/>
          <w:lang w:eastAsia="zh-CN"/>
        </w:rPr>
        <w:t>3.4</w:t>
      </w:r>
      <w:r w:rsidR="00AC28BB">
        <w:rPr>
          <w:rFonts w:ascii="华文楷体" w:hAnsi="华文楷体"/>
          <w:sz w:val="24"/>
          <w:szCs w:val="24"/>
          <w:lang w:eastAsia="zh-CN"/>
        </w:rPr>
        <w:t>%、</w:t>
      </w:r>
      <w:r w:rsidR="00AE0E3F">
        <w:rPr>
          <w:rFonts w:ascii="华文楷体" w:hAnsi="华文楷体" w:hint="eastAsia"/>
          <w:sz w:val="24"/>
          <w:szCs w:val="24"/>
          <w:lang w:eastAsia="zh-CN"/>
        </w:rPr>
        <w:t>-</w:t>
      </w:r>
      <w:r w:rsidR="00AE0E3F">
        <w:rPr>
          <w:rFonts w:ascii="华文楷体" w:hAnsi="华文楷体"/>
          <w:sz w:val="24"/>
          <w:szCs w:val="24"/>
          <w:lang w:eastAsia="zh-CN"/>
        </w:rPr>
        <w:t>6.8</w:t>
      </w:r>
      <w:r w:rsidR="00AC28BB">
        <w:rPr>
          <w:rFonts w:ascii="华文楷体" w:hAnsi="华文楷体"/>
          <w:sz w:val="24"/>
          <w:szCs w:val="24"/>
          <w:lang w:eastAsia="zh-CN"/>
        </w:rPr>
        <w:t>%、</w:t>
      </w:r>
      <w:r w:rsidR="00AE0E3F">
        <w:rPr>
          <w:rFonts w:ascii="华文楷体" w:hAnsi="华文楷体" w:hint="eastAsia"/>
          <w:sz w:val="24"/>
          <w:szCs w:val="24"/>
          <w:lang w:eastAsia="zh-CN"/>
        </w:rPr>
        <w:t>-</w:t>
      </w:r>
      <w:r w:rsidR="00AE0E3F">
        <w:rPr>
          <w:rFonts w:ascii="华文楷体" w:hAnsi="华文楷体"/>
          <w:sz w:val="24"/>
          <w:szCs w:val="24"/>
          <w:lang w:eastAsia="zh-CN"/>
        </w:rPr>
        <w:t>3.5</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AE0E3F">
        <w:rPr>
          <w:rFonts w:ascii="华文楷体" w:hAnsi="华文楷体" w:hint="eastAsia"/>
          <w:sz w:val="24"/>
          <w:szCs w:val="24"/>
          <w:lang w:eastAsia="zh-CN"/>
        </w:rPr>
        <w:t>-</w:t>
      </w:r>
      <w:r w:rsidR="00AE0E3F">
        <w:rPr>
          <w:rFonts w:ascii="华文楷体" w:hAnsi="华文楷体"/>
          <w:sz w:val="24"/>
          <w:szCs w:val="24"/>
          <w:lang w:eastAsia="zh-CN"/>
        </w:rPr>
        <w:t>3.9</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4426C">
        <w:rPr>
          <w:rFonts w:ascii="华文楷体" w:hAnsi="华文楷体" w:hint="eastAsia"/>
          <w:sz w:val="24"/>
          <w:szCs w:val="24"/>
          <w:lang w:eastAsia="zh-CN"/>
        </w:rPr>
        <w:t>伴随权益市场情绪</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AE0E3F">
        <w:rPr>
          <w:rFonts w:ascii="华文楷体" w:hAnsi="华文楷体" w:hint="eastAsia"/>
          <w:sz w:val="24"/>
          <w:szCs w:val="24"/>
          <w:lang w:eastAsia="zh-CN"/>
        </w:rPr>
        <w:t>下跌3</w:t>
      </w:r>
      <w:r w:rsidR="00AE0E3F">
        <w:rPr>
          <w:rFonts w:ascii="华文楷体" w:hAnsi="华文楷体"/>
          <w:sz w:val="24"/>
          <w:szCs w:val="24"/>
          <w:lang w:eastAsia="zh-CN"/>
        </w:rPr>
        <w:t>.8</w:t>
      </w:r>
      <w:r w:rsidR="001E3C02">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AE0E3F">
        <w:tblPrEx>
          <w:tblCellMar>
            <w:left w:w="108" w:type="dxa"/>
            <w:right w:w="108" w:type="dxa"/>
          </w:tblCellMar>
        </w:tblPrEx>
        <w:trPr>
          <w:trHeight w:val="2921"/>
          <w:jc w:val="center"/>
        </w:trPr>
        <w:tc>
          <w:tcPr>
            <w:tcW w:w="4939" w:type="dxa"/>
            <w:vAlign w:val="center"/>
          </w:tcPr>
          <w:p w14:paraId="5C83721A" w14:textId="130DB81D" w:rsidR="00E0626C" w:rsidRPr="00345C30" w:rsidRDefault="00AE0E3F" w:rsidP="00345C30">
            <w:pPr>
              <w:widowControl/>
              <w:jc w:val="left"/>
              <w:rPr>
                <w:rFonts w:ascii="宋体" w:hAnsi="宋体" w:cs="宋体"/>
                <w:kern w:val="0"/>
                <w:sz w:val="24"/>
                <w:szCs w:val="24"/>
              </w:rPr>
            </w:pPr>
            <w:r w:rsidRPr="00AE0E3F">
              <w:rPr>
                <w:rFonts w:ascii="宋体" w:hAnsi="宋体" w:cs="宋体"/>
                <w:noProof/>
                <w:kern w:val="0"/>
                <w:sz w:val="24"/>
                <w:szCs w:val="24"/>
              </w:rPr>
              <w:drawing>
                <wp:inline distT="0" distB="0" distL="0" distR="0" wp14:anchorId="242C5CFE" wp14:editId="52F2DAF6">
                  <wp:extent cx="3080825" cy="1932940"/>
                  <wp:effectExtent l="0" t="0" r="571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94391" cy="1941451"/>
                          </a:xfrm>
                          <a:prstGeom prst="rect">
                            <a:avLst/>
                          </a:prstGeom>
                          <a:noFill/>
                          <a:ln>
                            <a:noFill/>
                          </a:ln>
                        </pic:spPr>
                      </pic:pic>
                    </a:graphicData>
                  </a:graphic>
                </wp:inline>
              </w:drawing>
            </w:r>
          </w:p>
        </w:tc>
        <w:tc>
          <w:tcPr>
            <w:tcW w:w="4938" w:type="dxa"/>
            <w:vAlign w:val="center"/>
          </w:tcPr>
          <w:p w14:paraId="39BD4383" w14:textId="6BFA76FF" w:rsidR="00E0626C" w:rsidRPr="007E0340" w:rsidRDefault="00AE0E3F" w:rsidP="009A2BA0">
            <w:pPr>
              <w:jc w:val="center"/>
              <w:rPr>
                <w:noProof/>
                <w:szCs w:val="18"/>
              </w:rPr>
            </w:pPr>
            <w:r>
              <w:rPr>
                <w:noProof/>
              </w:rPr>
              <w:drawing>
                <wp:inline distT="0" distB="0" distL="0" distR="0" wp14:anchorId="02B4166B" wp14:editId="5D9BE611">
                  <wp:extent cx="2998470" cy="1953113"/>
                  <wp:effectExtent l="0" t="0" r="0" b="0"/>
                  <wp:docPr id="15" name="图表 1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2EF9DAA6"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060F1B" w:rsidRPr="00060F1B">
        <w:rPr>
          <w:rFonts w:ascii="华文楷体" w:hAnsi="华文楷体" w:hint="eastAsia"/>
          <w:bCs/>
          <w:sz w:val="24"/>
          <w:szCs w:val="24"/>
          <w:lang w:eastAsia="zh-CN"/>
        </w:rPr>
        <w:t>主要港口动力煤平均价大幅回落11.77%</w:t>
      </w:r>
      <w:r w:rsidR="00060F1B">
        <w:rPr>
          <w:rFonts w:ascii="华文楷体" w:hAnsi="华文楷体" w:hint="eastAsia"/>
          <w:bCs/>
          <w:sz w:val="24"/>
          <w:szCs w:val="24"/>
          <w:lang w:eastAsia="zh-CN"/>
        </w:rPr>
        <w:t>，</w:t>
      </w:r>
      <w:r w:rsidR="00060F1B" w:rsidRPr="004B40FA">
        <w:rPr>
          <w:rFonts w:ascii="华文楷体" w:hAnsi="华文楷体" w:hint="eastAsia"/>
          <w:bCs/>
          <w:sz w:val="24"/>
          <w:szCs w:val="24"/>
          <w:lang w:eastAsia="zh-CN"/>
        </w:rPr>
        <w:t>PTA产业链</w:t>
      </w:r>
      <w:proofErr w:type="gramStart"/>
      <w:r w:rsidR="00060F1B" w:rsidRPr="004B40FA">
        <w:rPr>
          <w:rFonts w:ascii="华文楷体" w:hAnsi="华文楷体" w:hint="eastAsia"/>
          <w:bCs/>
          <w:sz w:val="24"/>
          <w:szCs w:val="24"/>
          <w:lang w:eastAsia="zh-CN"/>
        </w:rPr>
        <w:t>负荷率环比</w:t>
      </w:r>
      <w:proofErr w:type="gramEnd"/>
      <w:r w:rsidR="00060F1B" w:rsidRPr="004B40FA">
        <w:rPr>
          <w:rFonts w:ascii="华文楷体" w:hAnsi="华文楷体" w:hint="eastAsia"/>
          <w:bCs/>
          <w:sz w:val="24"/>
          <w:szCs w:val="24"/>
          <w:lang w:eastAsia="zh-CN"/>
        </w:rPr>
        <w:t>下行3.85%，</w:t>
      </w:r>
      <w:r w:rsidR="004B40FA" w:rsidRPr="004B40FA">
        <w:rPr>
          <w:rFonts w:ascii="华文楷体" w:hAnsi="华文楷体" w:hint="eastAsia"/>
          <w:bCs/>
          <w:sz w:val="24"/>
          <w:szCs w:val="24"/>
          <w:lang w:eastAsia="zh-CN"/>
        </w:rPr>
        <w:t>中国玻璃综合指数回落1.95%。</w:t>
      </w:r>
      <w:proofErr w:type="spellStart"/>
      <w:r w:rsidR="004B40FA" w:rsidRPr="004B40FA">
        <w:rPr>
          <w:rFonts w:ascii="华文楷体" w:hAnsi="华文楷体" w:hint="eastAsia"/>
          <w:bCs/>
          <w:sz w:val="24"/>
          <w:szCs w:val="24"/>
          <w:lang w:eastAsia="zh-CN"/>
        </w:rPr>
        <w:t>Myspic</w:t>
      </w:r>
      <w:proofErr w:type="spellEnd"/>
      <w:r w:rsidR="004B40FA" w:rsidRPr="004B40FA">
        <w:rPr>
          <w:rFonts w:ascii="华文楷体" w:hAnsi="华文楷体" w:hint="eastAsia"/>
          <w:bCs/>
          <w:sz w:val="24"/>
          <w:szCs w:val="24"/>
          <w:lang w:eastAsia="zh-CN"/>
        </w:rPr>
        <w:t>综合全国钢铁价格指数下行0.15%，下行幅度较</w:t>
      </w:r>
      <w:r w:rsidR="004F189D">
        <w:rPr>
          <w:rFonts w:ascii="华文楷体" w:hAnsi="华文楷体" w:hint="eastAsia"/>
          <w:bCs/>
          <w:sz w:val="24"/>
          <w:szCs w:val="24"/>
          <w:lang w:eastAsia="zh-CN"/>
        </w:rPr>
        <w:t>前一周</w:t>
      </w:r>
      <w:r w:rsidR="004B40FA" w:rsidRPr="004B40FA">
        <w:rPr>
          <w:rFonts w:ascii="华文楷体" w:hAnsi="华文楷体" w:hint="eastAsia"/>
          <w:bCs/>
          <w:sz w:val="24"/>
          <w:szCs w:val="24"/>
          <w:lang w:eastAsia="zh-CN"/>
        </w:rPr>
        <w:t>有所收窄。主要品种中，螺纹钢、热卷、高线价格本周表现分化，分别变动0.09%、-0.17%、-0.09%；从库存来看，螺纹钢、热卷、线材库存大幅增加，分别增加21.95%、-0.59%、26.4%。</w:t>
      </w:r>
      <w:r w:rsidR="004F189D" w:rsidRPr="004F189D">
        <w:rPr>
          <w:rFonts w:ascii="华文楷体" w:hAnsi="华文楷体" w:hint="eastAsia"/>
          <w:bCs/>
          <w:sz w:val="24"/>
          <w:szCs w:val="24"/>
          <w:lang w:eastAsia="zh-CN"/>
        </w:rPr>
        <w:t>全国水泥价格</w:t>
      </w:r>
      <w:proofErr w:type="gramStart"/>
      <w:r w:rsidR="004F189D" w:rsidRPr="004F189D">
        <w:rPr>
          <w:rFonts w:ascii="华文楷体" w:hAnsi="华文楷体" w:hint="eastAsia"/>
          <w:bCs/>
          <w:sz w:val="24"/>
          <w:szCs w:val="24"/>
          <w:lang w:eastAsia="zh-CN"/>
        </w:rPr>
        <w:t>指数环</w:t>
      </w:r>
      <w:proofErr w:type="gramEnd"/>
      <w:r w:rsidR="004F189D" w:rsidRPr="004F189D">
        <w:rPr>
          <w:rFonts w:ascii="华文楷体" w:hAnsi="华文楷体" w:hint="eastAsia"/>
          <w:bCs/>
          <w:sz w:val="24"/>
          <w:szCs w:val="24"/>
          <w:lang w:eastAsia="zh-CN"/>
        </w:rPr>
        <w:t>比回落0.48%</w:t>
      </w:r>
      <w:r w:rsidR="004F189D">
        <w:rPr>
          <w:rFonts w:ascii="华文楷体" w:hAnsi="华文楷体" w:hint="eastAsia"/>
          <w:bCs/>
          <w:sz w:val="24"/>
          <w:szCs w:val="24"/>
          <w:lang w:eastAsia="zh-CN"/>
        </w:rPr>
        <w:t>。</w:t>
      </w:r>
    </w:p>
    <w:p w14:paraId="21425444" w14:textId="3EBCCDD8"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F6B5C">
        <w:rPr>
          <w:rFonts w:ascii="华文楷体" w:hAnsi="华文楷体" w:hint="eastAsia"/>
          <w:b/>
          <w:bCs/>
          <w:sz w:val="24"/>
          <w:szCs w:val="24"/>
          <w:lang w:eastAsia="zh-CN"/>
        </w:rPr>
        <w:t>：</w:t>
      </w:r>
      <w:r w:rsidR="004F189D" w:rsidRPr="004F189D">
        <w:rPr>
          <w:rFonts w:ascii="华文楷体" w:hAnsi="华文楷体" w:hint="eastAsia"/>
          <w:bCs/>
          <w:sz w:val="24"/>
          <w:szCs w:val="24"/>
          <w:lang w:eastAsia="zh-CN"/>
        </w:rPr>
        <w:t>30大中城市商品房成交面积较前周回落4.55%</w:t>
      </w:r>
      <w:r w:rsidR="00876FFA" w:rsidRPr="00876FFA">
        <w:rPr>
          <w:rFonts w:ascii="华文楷体" w:hAnsi="华文楷体" w:hint="eastAsia"/>
          <w:bCs/>
          <w:sz w:val="24"/>
          <w:szCs w:val="24"/>
          <w:lang w:eastAsia="zh-CN"/>
        </w:rPr>
        <w:t>。</w:t>
      </w:r>
      <w:r w:rsidR="004F189D" w:rsidRPr="004F189D">
        <w:rPr>
          <w:rFonts w:ascii="华文楷体" w:hAnsi="华文楷体" w:hint="eastAsia"/>
          <w:bCs/>
          <w:sz w:val="24"/>
          <w:szCs w:val="24"/>
          <w:lang w:eastAsia="zh-CN"/>
        </w:rPr>
        <w:t>拿地方面，100大中城市土地成交面积小幅回升6.8%，其中一线城市拿地大幅回落，二三线城市拿地小幅回升</w:t>
      </w:r>
      <w:r w:rsidR="004F189D">
        <w:rPr>
          <w:rFonts w:ascii="华文楷体" w:hAnsi="华文楷体" w:hint="eastAsia"/>
          <w:bCs/>
          <w:sz w:val="24"/>
          <w:szCs w:val="24"/>
          <w:lang w:eastAsia="zh-CN"/>
        </w:rPr>
        <w:t>。</w:t>
      </w:r>
    </w:p>
    <w:p w14:paraId="77CCCEDF" w14:textId="6BC1BD14"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2547B9" w:rsidRPr="00AE5436">
        <w:rPr>
          <w:rFonts w:ascii="华文楷体" w:hAnsi="华文楷体" w:hint="eastAsia"/>
          <w:bCs/>
          <w:sz w:val="24"/>
          <w:szCs w:val="24"/>
          <w:lang w:eastAsia="zh-CN"/>
        </w:rPr>
        <w:t>进口方面，</w:t>
      </w:r>
      <w:r w:rsidR="004F189D" w:rsidRPr="004F189D">
        <w:rPr>
          <w:rFonts w:ascii="华文楷体" w:hAnsi="华文楷体" w:hint="eastAsia"/>
          <w:bCs/>
          <w:sz w:val="24"/>
          <w:szCs w:val="24"/>
          <w:lang w:eastAsia="zh-CN"/>
        </w:rPr>
        <w:t>波罗的海干散货指数较</w:t>
      </w:r>
      <w:r w:rsidR="004F189D">
        <w:rPr>
          <w:rFonts w:ascii="华文楷体" w:hAnsi="华文楷体" w:hint="eastAsia"/>
          <w:bCs/>
          <w:sz w:val="24"/>
          <w:szCs w:val="24"/>
          <w:lang w:eastAsia="zh-CN"/>
        </w:rPr>
        <w:t>前一周</w:t>
      </w:r>
      <w:r w:rsidR="004F189D" w:rsidRPr="004F189D">
        <w:rPr>
          <w:rFonts w:ascii="华文楷体" w:hAnsi="华文楷体" w:hint="eastAsia"/>
          <w:bCs/>
          <w:sz w:val="24"/>
          <w:szCs w:val="24"/>
          <w:lang w:eastAsia="zh-CN"/>
        </w:rPr>
        <w:t>回落12.19%，中国进口干散货运价指数较</w:t>
      </w:r>
      <w:r w:rsidR="004F189D">
        <w:rPr>
          <w:rFonts w:ascii="华文楷体" w:hAnsi="华文楷体" w:hint="eastAsia"/>
          <w:bCs/>
          <w:sz w:val="24"/>
          <w:szCs w:val="24"/>
          <w:lang w:eastAsia="zh-CN"/>
        </w:rPr>
        <w:t>前一周</w:t>
      </w:r>
      <w:r w:rsidR="004F189D" w:rsidRPr="004F189D">
        <w:rPr>
          <w:rFonts w:ascii="华文楷体" w:hAnsi="华文楷体" w:hint="eastAsia"/>
          <w:bCs/>
          <w:sz w:val="24"/>
          <w:szCs w:val="24"/>
          <w:lang w:eastAsia="zh-CN"/>
        </w:rPr>
        <w:t>回落6.56%</w:t>
      </w:r>
      <w:r w:rsidR="00C114A1" w:rsidRPr="00C114A1">
        <w:rPr>
          <w:rFonts w:ascii="华文楷体" w:hAnsi="华文楷体" w:hint="eastAsia"/>
          <w:bCs/>
          <w:sz w:val="24"/>
          <w:szCs w:val="24"/>
          <w:lang w:eastAsia="zh-CN"/>
        </w:rPr>
        <w:t>。</w:t>
      </w:r>
      <w:r w:rsidR="002547B9" w:rsidRPr="00AE5436">
        <w:rPr>
          <w:rFonts w:ascii="华文楷体" w:hAnsi="华文楷体" w:hint="eastAsia"/>
          <w:bCs/>
          <w:sz w:val="24"/>
          <w:szCs w:val="24"/>
          <w:lang w:eastAsia="zh-CN"/>
        </w:rPr>
        <w:t>出口方面，</w:t>
      </w:r>
      <w:r w:rsidR="004F189D" w:rsidRPr="004F189D">
        <w:rPr>
          <w:rFonts w:ascii="华文楷体" w:hAnsi="华文楷体" w:hint="eastAsia"/>
          <w:bCs/>
          <w:sz w:val="24"/>
          <w:szCs w:val="24"/>
          <w:lang w:eastAsia="zh-CN"/>
        </w:rPr>
        <w:t>中国出口集装箱运价指数（CCFI）本周回升3.74%，上海出口集装箱指数（SCFI）本周则小幅回落0.25%</w:t>
      </w:r>
      <w:r w:rsidR="00876FFA" w:rsidRPr="00876FFA">
        <w:rPr>
          <w:rFonts w:ascii="华文楷体" w:hAnsi="华文楷体" w:hint="eastAsia"/>
          <w:bCs/>
          <w:sz w:val="24"/>
          <w:szCs w:val="24"/>
          <w:lang w:eastAsia="zh-CN"/>
        </w:rPr>
        <w:t>。</w:t>
      </w:r>
    </w:p>
    <w:p w14:paraId="0542DAC4" w14:textId="4C394EEF"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4F189D" w:rsidRPr="004F189D">
        <w:rPr>
          <w:rFonts w:ascii="华文楷体" w:hAnsi="华文楷体" w:hint="eastAsia"/>
          <w:bCs/>
          <w:sz w:val="24"/>
          <w:szCs w:val="24"/>
          <w:lang w:eastAsia="zh-CN"/>
        </w:rPr>
        <w:t>猪肉平均价本周回落1.42%，农业部公布的全国平均批发价较上周末回落至46.7元/公斤左右</w:t>
      </w:r>
      <w:r w:rsidR="00C114A1" w:rsidRPr="00C114A1">
        <w:rPr>
          <w:rFonts w:ascii="华文楷体" w:hAnsi="华文楷体" w:hint="eastAsia"/>
          <w:bCs/>
          <w:sz w:val="24"/>
          <w:szCs w:val="24"/>
          <w:lang w:eastAsia="zh-CN"/>
        </w:rPr>
        <w:t>。</w:t>
      </w:r>
      <w:r w:rsidR="004F189D" w:rsidRPr="004F189D">
        <w:rPr>
          <w:rFonts w:ascii="华文楷体" w:hAnsi="华文楷体" w:hint="eastAsia"/>
          <w:bCs/>
          <w:sz w:val="24"/>
          <w:szCs w:val="24"/>
          <w:lang w:eastAsia="zh-CN"/>
        </w:rPr>
        <w:t>牛羊肉价格表现分化，牛肉本周跟随猪价回落0.28%，羊肉价格则继续回升0.28%；蔬菜价格继续回升1.27%，鸡蛋价格从前期高位回落5.18%，主要受前期鸡蛋价格上涨较多影响；水果价格则小幅上行2.33%，走势基本符合季节性；水产品本周价格下行0.08%。</w:t>
      </w:r>
      <w:r w:rsidR="0063487B" w:rsidRPr="0063487B">
        <w:rPr>
          <w:rFonts w:ascii="华文楷体" w:hAnsi="华文楷体" w:hint="eastAsia"/>
          <w:bCs/>
          <w:sz w:val="24"/>
          <w:szCs w:val="24"/>
          <w:lang w:eastAsia="zh-CN"/>
        </w:rPr>
        <w:t>工业品价格方面，</w:t>
      </w:r>
      <w:r w:rsidR="004F189D" w:rsidRPr="004F189D">
        <w:rPr>
          <w:rFonts w:ascii="华文楷体" w:hAnsi="华文楷体" w:hint="eastAsia"/>
          <w:bCs/>
          <w:sz w:val="24"/>
          <w:szCs w:val="24"/>
          <w:lang w:eastAsia="zh-CN"/>
        </w:rPr>
        <w:t>长江有色市场现货价格铜、铝、铅、锌价分别变动-0.74%、0.07%、1.84%、-1.96%；海外价格来看，LME铜、铝、铅、</w:t>
      </w:r>
      <w:proofErr w:type="gramStart"/>
      <w:r w:rsidR="004F189D" w:rsidRPr="004F189D">
        <w:rPr>
          <w:rFonts w:ascii="华文楷体" w:hAnsi="华文楷体" w:hint="eastAsia"/>
          <w:bCs/>
          <w:sz w:val="24"/>
          <w:szCs w:val="24"/>
          <w:lang w:eastAsia="zh-CN"/>
        </w:rPr>
        <w:t>锌较上</w:t>
      </w:r>
      <w:proofErr w:type="gramEnd"/>
      <w:r w:rsidR="004F189D" w:rsidRPr="004F189D">
        <w:rPr>
          <w:rFonts w:ascii="华文楷体" w:hAnsi="华文楷体" w:hint="eastAsia"/>
          <w:bCs/>
          <w:sz w:val="24"/>
          <w:szCs w:val="24"/>
          <w:lang w:eastAsia="zh-CN"/>
        </w:rPr>
        <w:t>周环比变化分别为-0.98%、1.19%、1.25%、-1.99%</w:t>
      </w:r>
      <w:r w:rsidR="004F189D">
        <w:rPr>
          <w:rFonts w:ascii="华文楷体" w:hAnsi="华文楷体" w:hint="eastAsia"/>
          <w:bCs/>
          <w:sz w:val="24"/>
          <w:szCs w:val="24"/>
          <w:lang w:eastAsia="zh-CN"/>
        </w:rPr>
        <w:t>。</w:t>
      </w:r>
    </w:p>
    <w:p w14:paraId="29155A05" w14:textId="256E4408"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4F189D" w:rsidRPr="004F189D">
        <w:rPr>
          <w:rFonts w:ascii="华文楷体" w:hAnsi="华文楷体" w:hint="eastAsia"/>
          <w:bCs/>
          <w:sz w:val="24"/>
          <w:szCs w:val="24"/>
          <w:lang w:eastAsia="zh-CN"/>
        </w:rPr>
        <w:t>乘联会最新数据显示，1月第三周的日均零售是6.3万辆，同比增长35%，环比12月第三周下降17%；批发方面，1月第三周主要厂商批发销量达到日均5.6万辆，同比增长37%。环比12月第三周下降14%。</w:t>
      </w:r>
      <w:r w:rsidR="008C18FD">
        <w:rPr>
          <w:rFonts w:ascii="华文楷体" w:hAnsi="华文楷体"/>
          <w:bCs/>
          <w:sz w:val="24"/>
          <w:szCs w:val="24"/>
          <w:lang w:eastAsia="zh-CN"/>
        </w:rPr>
        <w:t xml:space="preserve"> </w:t>
      </w:r>
    </w:p>
    <w:p w14:paraId="6C0621FD" w14:textId="1D3905CA"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4F189D" w:rsidRPr="004F189D">
        <w:rPr>
          <w:rFonts w:ascii="华文楷体" w:hAnsi="华文楷体" w:hint="eastAsia"/>
          <w:bCs/>
          <w:sz w:val="24"/>
          <w:szCs w:val="24"/>
          <w:lang w:eastAsia="zh-CN"/>
        </w:rPr>
        <w:t>WTI原油价格下降0.13%，至52.2美元/桶；布伦</w:t>
      </w:r>
      <w:proofErr w:type="gramStart"/>
      <w:r w:rsidR="004F189D" w:rsidRPr="004F189D">
        <w:rPr>
          <w:rFonts w:ascii="华文楷体" w:hAnsi="华文楷体" w:hint="eastAsia"/>
          <w:bCs/>
          <w:sz w:val="24"/>
          <w:szCs w:val="24"/>
          <w:lang w:eastAsia="zh-CN"/>
        </w:rPr>
        <w:t>特</w:t>
      </w:r>
      <w:proofErr w:type="gramEnd"/>
      <w:r w:rsidR="004F189D" w:rsidRPr="004F189D">
        <w:rPr>
          <w:rFonts w:ascii="华文楷体" w:hAnsi="华文楷体" w:hint="eastAsia"/>
          <w:bCs/>
          <w:sz w:val="24"/>
          <w:szCs w:val="24"/>
          <w:lang w:eastAsia="zh-CN"/>
        </w:rPr>
        <w:t>原油价格回升0.85%，至55.88美元/桶。</w:t>
      </w:r>
    </w:p>
    <w:p w14:paraId="35D3E229" w14:textId="3CA6339F"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proofErr w:type="gramStart"/>
      <w:r w:rsidR="004F189D" w:rsidRPr="004F189D">
        <w:rPr>
          <w:rFonts w:ascii="华文楷体" w:hAnsi="华文楷体" w:hint="eastAsia"/>
          <w:bCs/>
          <w:sz w:val="24"/>
          <w:szCs w:val="24"/>
          <w:lang w:eastAsia="zh-CN"/>
        </w:rPr>
        <w:t>财新</w:t>
      </w:r>
      <w:proofErr w:type="gramEnd"/>
      <w:r w:rsidR="004F189D" w:rsidRPr="004F189D">
        <w:rPr>
          <w:rFonts w:ascii="华文楷体" w:hAnsi="华文楷体" w:hint="eastAsia"/>
          <w:bCs/>
          <w:sz w:val="24"/>
          <w:szCs w:val="24"/>
          <w:lang w:eastAsia="zh-CN"/>
        </w:rPr>
        <w:t>PMI，央行公开市场操作情况及春节前流动性对冲安排</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1"/>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226D34DE"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4F189D" w:rsidRPr="004F189D">
        <w:rPr>
          <w:rFonts w:ascii="华文楷体" w:hAnsi="华文楷体" w:hint="eastAsia"/>
          <w:sz w:val="24"/>
          <w:szCs w:val="24"/>
          <w:lang w:eastAsia="zh-CN"/>
        </w:rPr>
        <w:t>近期资金面波动极大，结合央行相对保守的公开市场操作，市场对后续央行货币政策态度产生担忧。周末公布的PMI数据显示制造业和内需修复动能边际减弱，但与2020年不同的是疫情的反复即使存在，但对政策和市场的影响预计将明显弱于2020年。宏观杠杆率和某些领域的</w:t>
      </w:r>
      <w:r w:rsidR="00BB45C7">
        <w:rPr>
          <w:rFonts w:ascii="华文楷体" w:hAnsi="华文楷体" w:hint="eastAsia"/>
          <w:sz w:val="24"/>
          <w:szCs w:val="24"/>
          <w:lang w:eastAsia="zh-CN"/>
        </w:rPr>
        <w:t>资产泡沫问题将使得今年的政策会倾向于“中性适度”，目前债券供给</w:t>
      </w:r>
      <w:r w:rsidR="004F189D" w:rsidRPr="004F189D">
        <w:rPr>
          <w:rFonts w:ascii="华文楷体" w:hAnsi="华文楷体" w:hint="eastAsia"/>
          <w:sz w:val="24"/>
          <w:szCs w:val="24"/>
          <w:lang w:eastAsia="zh-CN"/>
        </w:rPr>
        <w:t>量仍未完全释放，关注3月两会全年定调。债市方面，中短</w:t>
      </w:r>
      <w:proofErr w:type="gramStart"/>
      <w:r w:rsidR="004F189D" w:rsidRPr="004F189D">
        <w:rPr>
          <w:rFonts w:ascii="华文楷体" w:hAnsi="华文楷体" w:hint="eastAsia"/>
          <w:sz w:val="24"/>
          <w:szCs w:val="24"/>
          <w:lang w:eastAsia="zh-CN"/>
        </w:rPr>
        <w:t>端品种</w:t>
      </w:r>
      <w:proofErr w:type="gramEnd"/>
      <w:r w:rsidR="004F189D" w:rsidRPr="004F189D">
        <w:rPr>
          <w:rFonts w:ascii="华文楷体" w:hAnsi="华文楷体" w:hint="eastAsia"/>
          <w:sz w:val="24"/>
          <w:szCs w:val="24"/>
          <w:lang w:eastAsia="zh-CN"/>
        </w:rPr>
        <w:t>尤其是高流动性受冲击较大，关注央行春节前流动性对冲操作，曲线短期快速走平甚至倒挂，但上周流动性极度干涸的情况属于极端状态，预计后续</w:t>
      </w:r>
      <w:proofErr w:type="gramStart"/>
      <w:r w:rsidR="004F189D" w:rsidRPr="004F189D">
        <w:rPr>
          <w:rFonts w:ascii="华文楷体" w:hAnsi="华文楷体" w:hint="eastAsia"/>
          <w:sz w:val="24"/>
          <w:szCs w:val="24"/>
          <w:lang w:eastAsia="zh-CN"/>
        </w:rPr>
        <w:t>短端会重新</w:t>
      </w:r>
      <w:proofErr w:type="gramEnd"/>
      <w:r w:rsidR="004F189D" w:rsidRPr="004F189D">
        <w:rPr>
          <w:rFonts w:ascii="华文楷体" w:hAnsi="华文楷体" w:hint="eastAsia"/>
          <w:sz w:val="24"/>
          <w:szCs w:val="24"/>
          <w:lang w:eastAsia="zh-CN"/>
        </w:rPr>
        <w:t>下行，曲线重归适度陡峭。</w:t>
      </w:r>
    </w:p>
    <w:p w14:paraId="2C3F4BD1" w14:textId="6CB28B48"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4F189D" w:rsidRPr="004F189D">
        <w:rPr>
          <w:rFonts w:ascii="华文楷体" w:hAnsi="华文楷体" w:hint="eastAsia"/>
          <w:sz w:val="24"/>
          <w:szCs w:val="24"/>
          <w:lang w:eastAsia="zh-CN"/>
        </w:rPr>
        <w:t>坚持票息策略出发，近期海航等个</w:t>
      </w:r>
      <w:proofErr w:type="gramStart"/>
      <w:r w:rsidR="004F189D" w:rsidRPr="004F189D">
        <w:rPr>
          <w:rFonts w:ascii="华文楷体" w:hAnsi="华文楷体" w:hint="eastAsia"/>
          <w:sz w:val="24"/>
          <w:szCs w:val="24"/>
          <w:lang w:eastAsia="zh-CN"/>
        </w:rPr>
        <w:t>券</w:t>
      </w:r>
      <w:proofErr w:type="gramEnd"/>
      <w:r w:rsidR="004F189D" w:rsidRPr="004F189D">
        <w:rPr>
          <w:rFonts w:ascii="华文楷体" w:hAnsi="华文楷体" w:hint="eastAsia"/>
          <w:sz w:val="24"/>
          <w:szCs w:val="24"/>
          <w:lang w:eastAsia="zh-CN"/>
        </w:rPr>
        <w:t>主体风险问题仍引发市场高度重视，关注后续央行及监管层针对信用风险处置的态度。权益及转债方面，资金入市情绪仍存在一定惯性，但市场已对流动性产生隐忧</w:t>
      </w:r>
      <w:r w:rsidR="00BB45C7">
        <w:rPr>
          <w:rFonts w:ascii="华文楷体" w:hAnsi="华文楷体" w:hint="eastAsia"/>
          <w:sz w:val="24"/>
          <w:szCs w:val="24"/>
          <w:lang w:eastAsia="zh-CN"/>
        </w:rPr>
        <w:t>，重点</w:t>
      </w:r>
      <w:r w:rsidR="004F189D" w:rsidRPr="004F189D">
        <w:rPr>
          <w:rFonts w:ascii="华文楷体" w:hAnsi="华文楷体" w:hint="eastAsia"/>
          <w:sz w:val="24"/>
          <w:szCs w:val="24"/>
          <w:lang w:eastAsia="zh-CN"/>
        </w:rPr>
        <w:t>关注行业和个股业绩改善情况。</w:t>
      </w:r>
    </w:p>
    <w:p w14:paraId="4C893BAE" w14:textId="72C2CF2E"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4F189D" w:rsidRPr="004F189D">
        <w:rPr>
          <w:rFonts w:ascii="华文楷体" w:hAnsi="华文楷体" w:hint="eastAsia"/>
          <w:sz w:val="24"/>
          <w:szCs w:val="24"/>
          <w:lang w:eastAsia="zh-CN"/>
        </w:rPr>
        <w:t>从近期高频数据看内需地产和基建持续表现一般、动能趋弱，</w:t>
      </w:r>
      <w:r w:rsidR="004F189D">
        <w:rPr>
          <w:rFonts w:ascii="华文楷体" w:hAnsi="华文楷体" w:hint="eastAsia"/>
          <w:sz w:val="24"/>
          <w:szCs w:val="24"/>
          <w:lang w:eastAsia="zh-CN"/>
        </w:rPr>
        <w:t>关注后续经济修复动力边际变化情况</w:t>
      </w:r>
      <w:r w:rsidR="004F189D" w:rsidRPr="004F189D">
        <w:rPr>
          <w:rFonts w:ascii="华文楷体" w:hAnsi="华文楷体" w:hint="eastAsia"/>
          <w:sz w:val="24"/>
          <w:szCs w:val="24"/>
          <w:lang w:eastAsia="zh-CN"/>
        </w:rPr>
        <w:t>，</w:t>
      </w:r>
      <w:r w:rsidR="004F189D">
        <w:rPr>
          <w:rFonts w:ascii="华文楷体" w:hAnsi="华文楷体" w:hint="eastAsia"/>
          <w:sz w:val="24"/>
          <w:szCs w:val="24"/>
          <w:lang w:eastAsia="zh-CN"/>
        </w:rPr>
        <w:t>行业策略上</w:t>
      </w:r>
      <w:r w:rsidR="004F189D" w:rsidRPr="004F189D">
        <w:rPr>
          <w:rFonts w:ascii="华文楷体" w:hAnsi="华文楷体" w:hint="eastAsia"/>
          <w:sz w:val="24"/>
          <w:szCs w:val="24"/>
          <w:lang w:eastAsia="zh-CN"/>
        </w:rPr>
        <w:t>关注电子和计算机，电力设备和医药板块以及石油化工等板块。</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1D63AE00" w:rsidR="001D35B3" w:rsidRPr="006A5F34" w:rsidRDefault="001D35B3" w:rsidP="006E5744">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030E7C">
              <w:rPr>
                <w:rFonts w:hint="eastAsia"/>
              </w:rPr>
              <w:t>小幅下行</w:t>
            </w:r>
          </w:p>
        </w:tc>
        <w:tc>
          <w:tcPr>
            <w:tcW w:w="4938" w:type="dxa"/>
            <w:vAlign w:val="center"/>
          </w:tcPr>
          <w:p w14:paraId="02A10F26" w14:textId="079F2026"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FE5669">
              <w:rPr>
                <w:rFonts w:hint="eastAsia"/>
              </w:rPr>
              <w:t>相对平稳</w:t>
            </w:r>
            <w:r w:rsidR="009F0675">
              <w:rPr>
                <w:rFonts w:hint="eastAsia"/>
              </w:rPr>
              <w:t>小幅下行</w:t>
            </w:r>
          </w:p>
        </w:tc>
      </w:tr>
      <w:tr w:rsidR="001D35B3" w:rsidRPr="006A5F34" w14:paraId="205667F1" w14:textId="77777777" w:rsidTr="003300DB">
        <w:tblPrEx>
          <w:tblCellMar>
            <w:left w:w="108" w:type="dxa"/>
            <w:right w:w="108" w:type="dxa"/>
          </w:tblCellMar>
        </w:tblPrEx>
        <w:trPr>
          <w:jc w:val="center"/>
        </w:trPr>
        <w:tc>
          <w:tcPr>
            <w:tcW w:w="4939" w:type="dxa"/>
            <w:vAlign w:val="center"/>
          </w:tcPr>
          <w:p w14:paraId="56C782C2" w14:textId="012CDF0D" w:rsidR="001D35B3" w:rsidRPr="007E0340" w:rsidRDefault="0053313D" w:rsidP="009A2BA0">
            <w:pPr>
              <w:jc w:val="center"/>
              <w:rPr>
                <w:noProof/>
              </w:rPr>
            </w:pPr>
            <w:r>
              <w:rPr>
                <w:noProof/>
              </w:rPr>
              <w:drawing>
                <wp:inline distT="0" distB="0" distL="0" distR="0" wp14:anchorId="3175A0BC" wp14:editId="307C137E">
                  <wp:extent cx="2999105" cy="1944321"/>
                  <wp:effectExtent l="0" t="0" r="0" b="0"/>
                  <wp:docPr id="16" name="图表 1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571ABBD1" w:rsidR="001D35B3" w:rsidRPr="007E0340" w:rsidRDefault="003300DB" w:rsidP="009A2BA0">
            <w:pPr>
              <w:jc w:val="center"/>
              <w:rPr>
                <w:noProof/>
                <w:szCs w:val="18"/>
              </w:rPr>
            </w:pPr>
            <w:r>
              <w:rPr>
                <w:noProof/>
              </w:rPr>
              <w:drawing>
                <wp:inline distT="0" distB="0" distL="0" distR="0" wp14:anchorId="37A421A9" wp14:editId="012509A3">
                  <wp:extent cx="2998470" cy="1966449"/>
                  <wp:effectExtent l="0" t="0" r="0" b="0"/>
                  <wp:docPr id="18" name="图表 1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45CA0782" w:rsidR="001D35B3" w:rsidRPr="006A5F34" w:rsidRDefault="001D35B3" w:rsidP="000A4783">
            <w:pPr>
              <w:pStyle w:val="ChartHeading"/>
              <w:jc w:val="both"/>
            </w:pPr>
            <w:r w:rsidRPr="006A5F34">
              <w:rPr>
                <w:rFonts w:hint="eastAsia"/>
              </w:rPr>
              <w:t>图表</w:t>
            </w:r>
            <w:r w:rsidRPr="006A5F34">
              <w:t>.</w:t>
            </w:r>
            <w:r>
              <w:t xml:space="preserve"> </w:t>
            </w:r>
            <w:r w:rsidR="00FF26B0">
              <w:rPr>
                <w:rFonts w:hint="eastAsia"/>
              </w:rPr>
              <w:t>人民币汇率</w:t>
            </w:r>
            <w:r w:rsidR="00BD5202">
              <w:rPr>
                <w:rFonts w:hint="eastAsia"/>
              </w:rPr>
              <w:t>低位震荡</w:t>
            </w:r>
          </w:p>
        </w:tc>
        <w:tc>
          <w:tcPr>
            <w:tcW w:w="4938" w:type="dxa"/>
            <w:vAlign w:val="center"/>
          </w:tcPr>
          <w:p w14:paraId="07575C0F" w14:textId="1734BF4A"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3300DB">
              <w:rPr>
                <w:rFonts w:hint="eastAsia"/>
              </w:rPr>
              <w:t>出现回落</w:t>
            </w:r>
          </w:p>
        </w:tc>
      </w:tr>
      <w:tr w:rsidR="001D35B3" w:rsidRPr="006A5F34" w14:paraId="49BBD33E" w14:textId="77777777" w:rsidTr="003300DB">
        <w:tblPrEx>
          <w:tblCellMar>
            <w:left w:w="108" w:type="dxa"/>
            <w:right w:w="108" w:type="dxa"/>
          </w:tblCellMar>
        </w:tblPrEx>
        <w:trPr>
          <w:trHeight w:val="2987"/>
          <w:jc w:val="center"/>
        </w:trPr>
        <w:tc>
          <w:tcPr>
            <w:tcW w:w="4939" w:type="dxa"/>
            <w:vAlign w:val="center"/>
          </w:tcPr>
          <w:p w14:paraId="0BAC1731" w14:textId="0B843C8A" w:rsidR="001D35B3" w:rsidRPr="007E0340" w:rsidRDefault="003300DB" w:rsidP="009A2BA0">
            <w:pPr>
              <w:jc w:val="center"/>
              <w:rPr>
                <w:noProof/>
              </w:rPr>
            </w:pPr>
            <w:r>
              <w:rPr>
                <w:noProof/>
              </w:rPr>
              <w:drawing>
                <wp:inline distT="0" distB="0" distL="0" distR="0" wp14:anchorId="6B132F41" wp14:editId="5E66068F">
                  <wp:extent cx="2999105" cy="1969916"/>
                  <wp:effectExtent l="0" t="0" r="10795" b="0"/>
                  <wp:docPr id="19" name="图表 1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14AB2FB3" w:rsidR="001D35B3" w:rsidRPr="007E0340" w:rsidRDefault="003300DB" w:rsidP="009A2BA0">
            <w:pPr>
              <w:jc w:val="center"/>
              <w:rPr>
                <w:noProof/>
                <w:szCs w:val="18"/>
              </w:rPr>
            </w:pPr>
            <w:bookmarkStart w:id="2" w:name="_GoBack"/>
            <w:r>
              <w:rPr>
                <w:noProof/>
              </w:rPr>
              <w:drawing>
                <wp:inline distT="0" distB="0" distL="0" distR="0" wp14:anchorId="0651A50C" wp14:editId="11C87F4B">
                  <wp:extent cx="2998470" cy="1941195"/>
                  <wp:effectExtent l="0" t="0" r="0" b="1905"/>
                  <wp:docPr id="20" name="图表 2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bookmarkEnd w:id="2"/>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236E8CBA" w14:textId="77777777" w:rsidR="00EA1966" w:rsidRDefault="00EA1966" w:rsidP="009A2BA0">
      <w:pPr>
        <w:pStyle w:val="Body-text"/>
        <w:spacing w:after="0"/>
        <w:rPr>
          <w:rFonts w:ascii="华文楷体" w:hAnsi="华文楷体"/>
          <w:sz w:val="24"/>
          <w:szCs w:val="24"/>
          <w:lang w:eastAsia="zh-CN"/>
        </w:rPr>
      </w:pPr>
    </w:p>
    <w:p w14:paraId="36DE518D" w14:textId="46C35CC1" w:rsidR="001170AF" w:rsidRPr="001A1299" w:rsidRDefault="004C4699" w:rsidP="004C4699">
      <w:pPr>
        <w:pStyle w:val="Body-text"/>
        <w:ind w:firstLineChars="200" w:firstLine="482"/>
        <w:rPr>
          <w:rFonts w:ascii="华文楷体" w:hAnsi="华文楷体"/>
          <w:sz w:val="24"/>
          <w:szCs w:val="24"/>
          <w:lang w:eastAsia="zh-CN"/>
        </w:rPr>
      </w:pPr>
      <w:r w:rsidRPr="004C4699">
        <w:rPr>
          <w:rFonts w:ascii="黑体" w:eastAsia="黑体" w:hAnsi="Calibri" w:hint="eastAsia"/>
          <w:b/>
          <w:kern w:val="2"/>
          <w:sz w:val="24"/>
          <w:szCs w:val="24"/>
          <w:lang w:eastAsia="zh-CN"/>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4C4699">
        <w:rPr>
          <w:rFonts w:ascii="黑体" w:eastAsia="黑体" w:hAnsi="Calibri" w:hint="eastAsia"/>
          <w:b/>
          <w:kern w:val="2"/>
          <w:sz w:val="24"/>
          <w:szCs w:val="24"/>
          <w:lang w:eastAsia="zh-CN"/>
        </w:rPr>
        <w:t>作出</w:t>
      </w:r>
      <w:proofErr w:type="gramEnd"/>
      <w:r w:rsidRPr="004C4699">
        <w:rPr>
          <w:rFonts w:ascii="黑体" w:eastAsia="黑体" w:hAnsi="Calibri" w:hint="eastAsia"/>
          <w:b/>
          <w:kern w:val="2"/>
          <w:sz w:val="24"/>
          <w:szCs w:val="24"/>
          <w:lang w:eastAsia="zh-CN"/>
        </w:rPr>
        <w:t>调整。2、本报告中的资料、观点和预测等仅供参考，在任何时候均不构成对任何人的个人推荐。市场有风险，投资需谨慎。</w:t>
      </w: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C0F7B2" w14:textId="77777777" w:rsidR="00D52830" w:rsidRDefault="00D52830">
      <w:r>
        <w:separator/>
      </w:r>
    </w:p>
  </w:endnote>
  <w:endnote w:type="continuationSeparator" w:id="0">
    <w:p w14:paraId="5AAC8778" w14:textId="77777777" w:rsidR="00D52830" w:rsidRDefault="00D528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等线">
    <w:altName w:val="Arial Unicode MS"/>
    <w:panose1 w:val="02010600030101010101"/>
    <w:charset w:val="86"/>
    <w:family w:val="auto"/>
    <w:pitch w:val="variable"/>
    <w:sig w:usb0="A00002BF"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53313D" w:rsidRDefault="0053313D">
        <w:pPr>
          <w:pStyle w:val="a4"/>
          <w:jc w:val="right"/>
        </w:pPr>
        <w:r>
          <w:fldChar w:fldCharType="begin"/>
        </w:r>
        <w:r>
          <w:instrText>PAGE   \* MERGEFORMAT</w:instrText>
        </w:r>
        <w:r>
          <w:fldChar w:fldCharType="separate"/>
        </w:r>
        <w:r w:rsidR="00F411C4" w:rsidRPr="00F411C4">
          <w:rPr>
            <w:noProof/>
            <w:lang w:val="zh-CN"/>
          </w:rPr>
          <w:t>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8E16E5" w14:textId="77777777" w:rsidR="00D52830" w:rsidRDefault="00D52830">
      <w:r>
        <w:separator/>
      </w:r>
    </w:p>
  </w:footnote>
  <w:footnote w:type="continuationSeparator" w:id="0">
    <w:p w14:paraId="7F35A511" w14:textId="77777777" w:rsidR="00D52830" w:rsidRDefault="00D528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53313D" w:rsidRDefault="0053313D"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49C"/>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9E7"/>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7BA"/>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798"/>
    <w:rsid w:val="00234ABC"/>
    <w:rsid w:val="00234E86"/>
    <w:rsid w:val="00235216"/>
    <w:rsid w:val="00235BF6"/>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D12"/>
    <w:rsid w:val="002D14C6"/>
    <w:rsid w:val="002D19CF"/>
    <w:rsid w:val="002D251D"/>
    <w:rsid w:val="002D27D9"/>
    <w:rsid w:val="002D2B4C"/>
    <w:rsid w:val="002D32D5"/>
    <w:rsid w:val="002D354D"/>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AF"/>
    <w:rsid w:val="00337BF7"/>
    <w:rsid w:val="00337FC0"/>
    <w:rsid w:val="003401AF"/>
    <w:rsid w:val="003401E6"/>
    <w:rsid w:val="00340776"/>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D38"/>
    <w:rsid w:val="00413EAE"/>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699"/>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1EB2"/>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6C21"/>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F88"/>
    <w:rsid w:val="005B0BC9"/>
    <w:rsid w:val="005B1AA7"/>
    <w:rsid w:val="005B1D9E"/>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AB5"/>
    <w:rsid w:val="00773EA7"/>
    <w:rsid w:val="0077492A"/>
    <w:rsid w:val="00774C2E"/>
    <w:rsid w:val="00774DA4"/>
    <w:rsid w:val="007753DD"/>
    <w:rsid w:val="00775530"/>
    <w:rsid w:val="0077583D"/>
    <w:rsid w:val="00776007"/>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01"/>
    <w:rsid w:val="00912945"/>
    <w:rsid w:val="00912C67"/>
    <w:rsid w:val="009131C4"/>
    <w:rsid w:val="0091354A"/>
    <w:rsid w:val="00913727"/>
    <w:rsid w:val="00914BEE"/>
    <w:rsid w:val="00914F10"/>
    <w:rsid w:val="00914F27"/>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309D"/>
    <w:rsid w:val="00933219"/>
    <w:rsid w:val="00933F6B"/>
    <w:rsid w:val="00934A6C"/>
    <w:rsid w:val="00934B1E"/>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472"/>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5C7"/>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306"/>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97D"/>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30E"/>
    <w:rsid w:val="00CD7D7A"/>
    <w:rsid w:val="00CE0946"/>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830"/>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0DD"/>
    <w:rsid w:val="00F371E8"/>
    <w:rsid w:val="00F377E4"/>
    <w:rsid w:val="00F37B30"/>
    <w:rsid w:val="00F4074F"/>
    <w:rsid w:val="00F407B6"/>
    <w:rsid w:val="00F408E2"/>
    <w:rsid w:val="00F40ABD"/>
    <w:rsid w:val="00F40F31"/>
    <w:rsid w:val="00F411C4"/>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BBB"/>
    <w:rsid w:val="00FF2CB1"/>
    <w:rsid w:val="00FF2CBC"/>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F:\&#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44071</c:v>
                </c:pt>
                <c:pt idx="1">
                  <c:v>44078</c:v>
                </c:pt>
                <c:pt idx="2">
                  <c:v>44085</c:v>
                </c:pt>
                <c:pt idx="3">
                  <c:v>44092</c:v>
                </c:pt>
                <c:pt idx="4">
                  <c:v>44099</c:v>
                </c:pt>
                <c:pt idx="5">
                  <c:v>44106</c:v>
                </c:pt>
                <c:pt idx="6">
                  <c:v>44113</c:v>
                </c:pt>
                <c:pt idx="7">
                  <c:v>44120</c:v>
                </c:pt>
                <c:pt idx="8">
                  <c:v>44127</c:v>
                </c:pt>
                <c:pt idx="9">
                  <c:v>44134</c:v>
                </c:pt>
                <c:pt idx="10">
                  <c:v>44141</c:v>
                </c:pt>
                <c:pt idx="11">
                  <c:v>44148</c:v>
                </c:pt>
                <c:pt idx="12">
                  <c:v>44155</c:v>
                </c:pt>
                <c:pt idx="13">
                  <c:v>44162</c:v>
                </c:pt>
                <c:pt idx="14">
                  <c:v>44169</c:v>
                </c:pt>
                <c:pt idx="15">
                  <c:v>44176</c:v>
                </c:pt>
                <c:pt idx="16">
                  <c:v>44183</c:v>
                </c:pt>
                <c:pt idx="17">
                  <c:v>44190</c:v>
                </c:pt>
                <c:pt idx="18">
                  <c:v>44197</c:v>
                </c:pt>
                <c:pt idx="19">
                  <c:v>44204</c:v>
                </c:pt>
                <c:pt idx="20">
                  <c:v>44211</c:v>
                </c:pt>
                <c:pt idx="21">
                  <c:v>44218</c:v>
                </c:pt>
                <c:pt idx="22">
                  <c:v>44225</c:v>
                </c:pt>
              </c:numCache>
            </c:numRef>
          </c:cat>
          <c:val>
            <c:numRef>
              <c:f>央行!$B$5:$B$27</c:f>
              <c:numCache>
                <c:formatCode>###,###,###,###,##0.00</c:formatCode>
                <c:ptCount val="23"/>
                <c:pt idx="0">
                  <c:v>8150</c:v>
                </c:pt>
                <c:pt idx="1">
                  <c:v>2800</c:v>
                </c:pt>
                <c:pt idx="2">
                  <c:v>6200</c:v>
                </c:pt>
                <c:pt idx="3">
                  <c:v>4800</c:v>
                </c:pt>
                <c:pt idx="4">
                  <c:v>9000</c:v>
                </c:pt>
                <c:pt idx="5">
                  <c:v>2150</c:v>
                </c:pt>
                <c:pt idx="6">
                  <c:v>0</c:v>
                </c:pt>
                <c:pt idx="7">
                  <c:v>1000</c:v>
                </c:pt>
                <c:pt idx="8">
                  <c:v>3200</c:v>
                </c:pt>
                <c:pt idx="9">
                  <c:v>5150</c:v>
                </c:pt>
                <c:pt idx="10">
                  <c:v>3200</c:v>
                </c:pt>
                <c:pt idx="11">
                  <c:v>5500</c:v>
                </c:pt>
                <c:pt idx="12">
                  <c:v>3000</c:v>
                </c:pt>
                <c:pt idx="13">
                  <c:v>4350</c:v>
                </c:pt>
                <c:pt idx="14">
                  <c:v>2000</c:v>
                </c:pt>
                <c:pt idx="15">
                  <c:v>1500</c:v>
                </c:pt>
                <c:pt idx="16">
                  <c:v>600</c:v>
                </c:pt>
                <c:pt idx="17">
                  <c:v>4300</c:v>
                </c:pt>
                <c:pt idx="18">
                  <c:v>1750</c:v>
                </c:pt>
                <c:pt idx="19">
                  <c:v>550</c:v>
                </c:pt>
                <c:pt idx="20">
                  <c:v>160</c:v>
                </c:pt>
                <c:pt idx="21">
                  <c:v>6140</c:v>
                </c:pt>
                <c:pt idx="22">
                  <c:v>3890</c:v>
                </c:pt>
              </c:numCache>
            </c:numRef>
          </c:val>
          <c:extLst xmlns:c16r2="http://schemas.microsoft.com/office/drawing/2015/06/chart">
            <c:ext xmlns:c16="http://schemas.microsoft.com/office/drawing/2014/chart" uri="{C3380CC4-5D6E-409C-BE32-E72D297353CC}">
              <c16:uniqueId val="{00000000-5E86-4ADD-89C3-544D5D7723A1}"/>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44071</c:v>
                </c:pt>
                <c:pt idx="1">
                  <c:v>44078</c:v>
                </c:pt>
                <c:pt idx="2">
                  <c:v>44085</c:v>
                </c:pt>
                <c:pt idx="3">
                  <c:v>44092</c:v>
                </c:pt>
                <c:pt idx="4">
                  <c:v>44099</c:v>
                </c:pt>
                <c:pt idx="5">
                  <c:v>44106</c:v>
                </c:pt>
                <c:pt idx="6">
                  <c:v>44113</c:v>
                </c:pt>
                <c:pt idx="7">
                  <c:v>44120</c:v>
                </c:pt>
                <c:pt idx="8">
                  <c:v>44127</c:v>
                </c:pt>
                <c:pt idx="9">
                  <c:v>44134</c:v>
                </c:pt>
                <c:pt idx="10">
                  <c:v>44141</c:v>
                </c:pt>
                <c:pt idx="11">
                  <c:v>44148</c:v>
                </c:pt>
                <c:pt idx="12">
                  <c:v>44155</c:v>
                </c:pt>
                <c:pt idx="13">
                  <c:v>44162</c:v>
                </c:pt>
                <c:pt idx="14">
                  <c:v>44169</c:v>
                </c:pt>
                <c:pt idx="15">
                  <c:v>44176</c:v>
                </c:pt>
                <c:pt idx="16">
                  <c:v>44183</c:v>
                </c:pt>
                <c:pt idx="17">
                  <c:v>44190</c:v>
                </c:pt>
                <c:pt idx="18">
                  <c:v>44197</c:v>
                </c:pt>
                <c:pt idx="19">
                  <c:v>44204</c:v>
                </c:pt>
                <c:pt idx="20">
                  <c:v>44211</c:v>
                </c:pt>
                <c:pt idx="21">
                  <c:v>44218</c:v>
                </c:pt>
                <c:pt idx="22">
                  <c:v>44225</c:v>
                </c:pt>
              </c:numCache>
            </c:numRef>
          </c:cat>
          <c:val>
            <c:numRef>
              <c:f>央行!$C$5:$C$27</c:f>
              <c:numCache>
                <c:formatCode>###,###,###,###,##0.00</c:formatCode>
                <c:ptCount val="23"/>
                <c:pt idx="0">
                  <c:v>-6150</c:v>
                </c:pt>
                <c:pt idx="1">
                  <c:v>-7500</c:v>
                </c:pt>
                <c:pt idx="2">
                  <c:v>-3900</c:v>
                </c:pt>
                <c:pt idx="3">
                  <c:v>-6200</c:v>
                </c:pt>
                <c:pt idx="4">
                  <c:v>-4200</c:v>
                </c:pt>
                <c:pt idx="5">
                  <c:v>-4650</c:v>
                </c:pt>
                <c:pt idx="6">
                  <c:v>-5000</c:v>
                </c:pt>
                <c:pt idx="7">
                  <c:v>-2100</c:v>
                </c:pt>
                <c:pt idx="8">
                  <c:v>-1000</c:v>
                </c:pt>
                <c:pt idx="9">
                  <c:v>-3250</c:v>
                </c:pt>
                <c:pt idx="10">
                  <c:v>-5100</c:v>
                </c:pt>
                <c:pt idx="11">
                  <c:v>-3200</c:v>
                </c:pt>
                <c:pt idx="12">
                  <c:v>-5500</c:v>
                </c:pt>
                <c:pt idx="13">
                  <c:v>-3050</c:v>
                </c:pt>
                <c:pt idx="14">
                  <c:v>-4300</c:v>
                </c:pt>
                <c:pt idx="15">
                  <c:v>-2000</c:v>
                </c:pt>
                <c:pt idx="16">
                  <c:v>-1500</c:v>
                </c:pt>
                <c:pt idx="17">
                  <c:v>-650</c:v>
                </c:pt>
                <c:pt idx="18">
                  <c:v>-800</c:v>
                </c:pt>
                <c:pt idx="19">
                  <c:v>-5200</c:v>
                </c:pt>
                <c:pt idx="20">
                  <c:v>-550</c:v>
                </c:pt>
                <c:pt idx="21">
                  <c:v>-160</c:v>
                </c:pt>
                <c:pt idx="22">
                  <c:v>-6190</c:v>
                </c:pt>
              </c:numCache>
            </c:numRef>
          </c:val>
          <c:extLst xmlns:c16r2="http://schemas.microsoft.com/office/drawing/2015/06/chart">
            <c:ext xmlns:c16="http://schemas.microsoft.com/office/drawing/2014/chart" uri="{C3380CC4-5D6E-409C-BE32-E72D297353CC}">
              <c16:uniqueId val="{00000001-5E86-4ADD-89C3-544D5D7723A1}"/>
            </c:ext>
          </c:extLst>
        </c:ser>
        <c:dLbls>
          <c:showLegendKey val="0"/>
          <c:showVal val="0"/>
          <c:showCatName val="0"/>
          <c:showSerName val="0"/>
          <c:showPercent val="0"/>
          <c:showBubbleSize val="0"/>
        </c:dLbls>
        <c:gapWidth val="150"/>
        <c:overlap val="100"/>
        <c:axId val="298546304"/>
        <c:axId val="298548224"/>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44071</c:v>
                </c:pt>
                <c:pt idx="1">
                  <c:v>44078</c:v>
                </c:pt>
                <c:pt idx="2">
                  <c:v>44085</c:v>
                </c:pt>
                <c:pt idx="3">
                  <c:v>44092</c:v>
                </c:pt>
                <c:pt idx="4">
                  <c:v>44099</c:v>
                </c:pt>
                <c:pt idx="5">
                  <c:v>44106</c:v>
                </c:pt>
                <c:pt idx="6">
                  <c:v>44113</c:v>
                </c:pt>
                <c:pt idx="7">
                  <c:v>44120</c:v>
                </c:pt>
                <c:pt idx="8">
                  <c:v>44127</c:v>
                </c:pt>
                <c:pt idx="9">
                  <c:v>44134</c:v>
                </c:pt>
                <c:pt idx="10">
                  <c:v>44141</c:v>
                </c:pt>
                <c:pt idx="11">
                  <c:v>44148</c:v>
                </c:pt>
                <c:pt idx="12">
                  <c:v>44155</c:v>
                </c:pt>
                <c:pt idx="13">
                  <c:v>44162</c:v>
                </c:pt>
                <c:pt idx="14">
                  <c:v>44169</c:v>
                </c:pt>
                <c:pt idx="15">
                  <c:v>44176</c:v>
                </c:pt>
                <c:pt idx="16">
                  <c:v>44183</c:v>
                </c:pt>
                <c:pt idx="17">
                  <c:v>44190</c:v>
                </c:pt>
                <c:pt idx="18">
                  <c:v>44197</c:v>
                </c:pt>
                <c:pt idx="19">
                  <c:v>44204</c:v>
                </c:pt>
                <c:pt idx="20">
                  <c:v>44211</c:v>
                </c:pt>
                <c:pt idx="21">
                  <c:v>44218</c:v>
                </c:pt>
                <c:pt idx="22">
                  <c:v>44225</c:v>
                </c:pt>
              </c:numCache>
            </c:numRef>
          </c:cat>
          <c:val>
            <c:numRef>
              <c:f>央行!$D$5:$D$27</c:f>
              <c:numCache>
                <c:formatCode>###,###,###,###,##0.00</c:formatCode>
                <c:ptCount val="23"/>
                <c:pt idx="0">
                  <c:v>2000</c:v>
                </c:pt>
                <c:pt idx="1">
                  <c:v>-4700</c:v>
                </c:pt>
                <c:pt idx="2">
                  <c:v>2300</c:v>
                </c:pt>
                <c:pt idx="3">
                  <c:v>-1400</c:v>
                </c:pt>
                <c:pt idx="4">
                  <c:v>4800</c:v>
                </c:pt>
                <c:pt idx="5">
                  <c:v>-2500</c:v>
                </c:pt>
                <c:pt idx="6">
                  <c:v>-5000</c:v>
                </c:pt>
                <c:pt idx="7">
                  <c:v>-1100</c:v>
                </c:pt>
                <c:pt idx="8">
                  <c:v>2200</c:v>
                </c:pt>
                <c:pt idx="9">
                  <c:v>1900</c:v>
                </c:pt>
                <c:pt idx="10">
                  <c:v>-1900</c:v>
                </c:pt>
                <c:pt idx="11">
                  <c:v>2300</c:v>
                </c:pt>
                <c:pt idx="12">
                  <c:v>-2500</c:v>
                </c:pt>
                <c:pt idx="13">
                  <c:v>1300</c:v>
                </c:pt>
                <c:pt idx="14">
                  <c:v>-2300</c:v>
                </c:pt>
                <c:pt idx="15">
                  <c:v>-500</c:v>
                </c:pt>
                <c:pt idx="16">
                  <c:v>-900</c:v>
                </c:pt>
                <c:pt idx="17">
                  <c:v>3650</c:v>
                </c:pt>
                <c:pt idx="18">
                  <c:v>950</c:v>
                </c:pt>
                <c:pt idx="19">
                  <c:v>-4650</c:v>
                </c:pt>
                <c:pt idx="20">
                  <c:v>-390</c:v>
                </c:pt>
                <c:pt idx="21">
                  <c:v>5980</c:v>
                </c:pt>
                <c:pt idx="22">
                  <c:v>-2300</c:v>
                </c:pt>
              </c:numCache>
            </c:numRef>
          </c:val>
          <c:smooth val="0"/>
          <c:extLst xmlns:c16r2="http://schemas.microsoft.com/office/drawing/2015/06/chart">
            <c:ext xmlns:c16="http://schemas.microsoft.com/office/drawing/2014/chart" uri="{C3380CC4-5D6E-409C-BE32-E72D297353CC}">
              <c16:uniqueId val="{00000002-5E86-4ADD-89C3-544D5D7723A1}"/>
            </c:ext>
          </c:extLst>
        </c:ser>
        <c:dLbls>
          <c:showLegendKey val="0"/>
          <c:showVal val="0"/>
          <c:showCatName val="0"/>
          <c:showSerName val="0"/>
          <c:showPercent val="0"/>
          <c:showBubbleSize val="0"/>
        </c:dLbls>
        <c:marker val="1"/>
        <c:smooth val="0"/>
        <c:axId val="298546304"/>
        <c:axId val="298548224"/>
      </c:lineChart>
      <c:catAx>
        <c:axId val="29854630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98548224"/>
        <c:crosses val="autoZero"/>
        <c:auto val="0"/>
        <c:lblAlgn val="ctr"/>
        <c:lblOffset val="0"/>
        <c:tickMarkSkip val="2"/>
        <c:noMultiLvlLbl val="0"/>
      </c:catAx>
      <c:valAx>
        <c:axId val="29854822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8546304"/>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90856714785651804"/>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44225</c:v>
                </c:pt>
                <c:pt idx="1">
                  <c:v>44224</c:v>
                </c:pt>
                <c:pt idx="2">
                  <c:v>44223</c:v>
                </c:pt>
                <c:pt idx="3">
                  <c:v>44222</c:v>
                </c:pt>
                <c:pt idx="4">
                  <c:v>44221</c:v>
                </c:pt>
                <c:pt idx="5">
                  <c:v>44218</c:v>
                </c:pt>
                <c:pt idx="6">
                  <c:v>44217</c:v>
                </c:pt>
                <c:pt idx="7">
                  <c:v>44216</c:v>
                </c:pt>
                <c:pt idx="8">
                  <c:v>44215</c:v>
                </c:pt>
                <c:pt idx="9">
                  <c:v>44214</c:v>
                </c:pt>
                <c:pt idx="10">
                  <c:v>44211</c:v>
                </c:pt>
                <c:pt idx="11">
                  <c:v>44210</c:v>
                </c:pt>
                <c:pt idx="12">
                  <c:v>44209</c:v>
                </c:pt>
                <c:pt idx="13">
                  <c:v>44208</c:v>
                </c:pt>
                <c:pt idx="14">
                  <c:v>44207</c:v>
                </c:pt>
                <c:pt idx="15">
                  <c:v>44204</c:v>
                </c:pt>
                <c:pt idx="16">
                  <c:v>44203</c:v>
                </c:pt>
                <c:pt idx="17">
                  <c:v>44202</c:v>
                </c:pt>
                <c:pt idx="18">
                  <c:v>44201</c:v>
                </c:pt>
                <c:pt idx="19">
                  <c:v>44200</c:v>
                </c:pt>
                <c:pt idx="20">
                  <c:v>44196</c:v>
                </c:pt>
                <c:pt idx="21">
                  <c:v>44195</c:v>
                </c:pt>
                <c:pt idx="22">
                  <c:v>44194</c:v>
                </c:pt>
                <c:pt idx="23">
                  <c:v>44193</c:v>
                </c:pt>
                <c:pt idx="24">
                  <c:v>44190</c:v>
                </c:pt>
                <c:pt idx="25">
                  <c:v>44189</c:v>
                </c:pt>
                <c:pt idx="26">
                  <c:v>44188</c:v>
                </c:pt>
                <c:pt idx="27">
                  <c:v>44187</c:v>
                </c:pt>
                <c:pt idx="28">
                  <c:v>44186</c:v>
                </c:pt>
                <c:pt idx="29">
                  <c:v>44183</c:v>
                </c:pt>
                <c:pt idx="30">
                  <c:v>44182</c:v>
                </c:pt>
                <c:pt idx="31">
                  <c:v>44181</c:v>
                </c:pt>
                <c:pt idx="32">
                  <c:v>44180</c:v>
                </c:pt>
                <c:pt idx="33">
                  <c:v>44179</c:v>
                </c:pt>
                <c:pt idx="34">
                  <c:v>44176</c:v>
                </c:pt>
                <c:pt idx="35">
                  <c:v>44175</c:v>
                </c:pt>
                <c:pt idx="36">
                  <c:v>44174</c:v>
                </c:pt>
                <c:pt idx="37">
                  <c:v>44173</c:v>
                </c:pt>
                <c:pt idx="38">
                  <c:v>44172</c:v>
                </c:pt>
                <c:pt idx="39">
                  <c:v>44169</c:v>
                </c:pt>
                <c:pt idx="40">
                  <c:v>44168</c:v>
                </c:pt>
                <c:pt idx="41">
                  <c:v>44167</c:v>
                </c:pt>
                <c:pt idx="42">
                  <c:v>44166</c:v>
                </c:pt>
                <c:pt idx="43">
                  <c:v>44165</c:v>
                </c:pt>
                <c:pt idx="44">
                  <c:v>44162</c:v>
                </c:pt>
                <c:pt idx="45">
                  <c:v>44161</c:v>
                </c:pt>
                <c:pt idx="46">
                  <c:v>44160</c:v>
                </c:pt>
                <c:pt idx="47">
                  <c:v>44159</c:v>
                </c:pt>
                <c:pt idx="48">
                  <c:v>44158</c:v>
                </c:pt>
                <c:pt idx="49">
                  <c:v>44155</c:v>
                </c:pt>
                <c:pt idx="50">
                  <c:v>44154</c:v>
                </c:pt>
                <c:pt idx="51">
                  <c:v>44153</c:v>
                </c:pt>
                <c:pt idx="52">
                  <c:v>44152</c:v>
                </c:pt>
                <c:pt idx="53">
                  <c:v>44151</c:v>
                </c:pt>
                <c:pt idx="54">
                  <c:v>44148</c:v>
                </c:pt>
                <c:pt idx="55">
                  <c:v>44147</c:v>
                </c:pt>
                <c:pt idx="56">
                  <c:v>44146</c:v>
                </c:pt>
                <c:pt idx="57">
                  <c:v>44145</c:v>
                </c:pt>
                <c:pt idx="58">
                  <c:v>44144</c:v>
                </c:pt>
              </c:numCache>
            </c:numRef>
          </c:cat>
          <c:val>
            <c:numRef>
              <c:f>资金!$B$3:$B$61</c:f>
              <c:numCache>
                <c:formatCode>###,###,###,###,##0.0000</c:formatCode>
                <c:ptCount val="59"/>
                <c:pt idx="0">
                  <c:v>6.5883000000000003</c:v>
                </c:pt>
                <c:pt idx="1">
                  <c:v>4.2148000000000003</c:v>
                </c:pt>
                <c:pt idx="2">
                  <c:v>3.5893999999999999</c:v>
                </c:pt>
                <c:pt idx="3">
                  <c:v>3.1797</c:v>
                </c:pt>
                <c:pt idx="4">
                  <c:v>2.6110000000000002</c:v>
                </c:pt>
                <c:pt idx="5">
                  <c:v>2.5579000000000001</c:v>
                </c:pt>
                <c:pt idx="6">
                  <c:v>2.7303000000000002</c:v>
                </c:pt>
                <c:pt idx="7">
                  <c:v>2.6476999999999999</c:v>
                </c:pt>
                <c:pt idx="8">
                  <c:v>2.4173</c:v>
                </c:pt>
                <c:pt idx="9">
                  <c:v>2.2145999999999999</c:v>
                </c:pt>
                <c:pt idx="10">
                  <c:v>1.81</c:v>
                </c:pt>
                <c:pt idx="11">
                  <c:v>1.7403999999999999</c:v>
                </c:pt>
                <c:pt idx="12">
                  <c:v>1.466</c:v>
                </c:pt>
                <c:pt idx="13">
                  <c:v>1.4098999999999999</c:v>
                </c:pt>
                <c:pt idx="14">
                  <c:v>1.2854000000000001</c:v>
                </c:pt>
                <c:pt idx="15">
                  <c:v>1.0166999999999999</c:v>
                </c:pt>
                <c:pt idx="16">
                  <c:v>0.99309999999999998</c:v>
                </c:pt>
                <c:pt idx="17">
                  <c:v>0.69089999999999996</c:v>
                </c:pt>
                <c:pt idx="18">
                  <c:v>0.80669999999999997</c:v>
                </c:pt>
                <c:pt idx="19">
                  <c:v>0.96089999999999998</c:v>
                </c:pt>
                <c:pt idx="20">
                  <c:v>1.4548000000000001</c:v>
                </c:pt>
                <c:pt idx="21">
                  <c:v>0.7712</c:v>
                </c:pt>
                <c:pt idx="22">
                  <c:v>0.71660000000000001</c:v>
                </c:pt>
                <c:pt idx="23">
                  <c:v>0.74880000000000002</c:v>
                </c:pt>
                <c:pt idx="24">
                  <c:v>0.86060000000000003</c:v>
                </c:pt>
                <c:pt idx="25">
                  <c:v>0.69410000000000005</c:v>
                </c:pt>
                <c:pt idx="26">
                  <c:v>0.68979999999999997</c:v>
                </c:pt>
                <c:pt idx="27">
                  <c:v>1.0650999999999999</c:v>
                </c:pt>
                <c:pt idx="28">
                  <c:v>1.5268999999999999</c:v>
                </c:pt>
                <c:pt idx="29">
                  <c:v>1.7833000000000001</c:v>
                </c:pt>
                <c:pt idx="30">
                  <c:v>1.4323999999999999</c:v>
                </c:pt>
                <c:pt idx="31">
                  <c:v>1.0374000000000001</c:v>
                </c:pt>
                <c:pt idx="32">
                  <c:v>1.4353</c:v>
                </c:pt>
                <c:pt idx="33">
                  <c:v>1.7574000000000001</c:v>
                </c:pt>
                <c:pt idx="34">
                  <c:v>1.5121</c:v>
                </c:pt>
                <c:pt idx="35">
                  <c:v>1.0599000000000001</c:v>
                </c:pt>
                <c:pt idx="36">
                  <c:v>1.1145</c:v>
                </c:pt>
                <c:pt idx="37">
                  <c:v>1.3402000000000001</c:v>
                </c:pt>
                <c:pt idx="38">
                  <c:v>1.4177</c:v>
                </c:pt>
                <c:pt idx="39">
                  <c:v>1.147</c:v>
                </c:pt>
                <c:pt idx="40">
                  <c:v>0.97250000000000003</c:v>
                </c:pt>
                <c:pt idx="41">
                  <c:v>0.81740000000000002</c:v>
                </c:pt>
                <c:pt idx="42">
                  <c:v>0.84609999999999996</c:v>
                </c:pt>
                <c:pt idx="43">
                  <c:v>1.2567999999999999</c:v>
                </c:pt>
                <c:pt idx="44">
                  <c:v>0.89139999999999997</c:v>
                </c:pt>
                <c:pt idx="45">
                  <c:v>1.3314999999999999</c:v>
                </c:pt>
                <c:pt idx="46">
                  <c:v>1.6241000000000001</c:v>
                </c:pt>
                <c:pt idx="47">
                  <c:v>1.8728</c:v>
                </c:pt>
                <c:pt idx="48">
                  <c:v>1.895</c:v>
                </c:pt>
                <c:pt idx="49">
                  <c:v>1.982</c:v>
                </c:pt>
                <c:pt idx="50">
                  <c:v>1.9603999999999999</c:v>
                </c:pt>
                <c:pt idx="51">
                  <c:v>1.7726</c:v>
                </c:pt>
                <c:pt idx="52">
                  <c:v>1.8414999999999999</c:v>
                </c:pt>
                <c:pt idx="53">
                  <c:v>2.2904</c:v>
                </c:pt>
                <c:pt idx="54">
                  <c:v>2.7808999999999999</c:v>
                </c:pt>
                <c:pt idx="55">
                  <c:v>2.8058000000000001</c:v>
                </c:pt>
                <c:pt idx="56">
                  <c:v>2.4857</c:v>
                </c:pt>
                <c:pt idx="57">
                  <c:v>2.4521999999999999</c:v>
                </c:pt>
                <c:pt idx="58">
                  <c:v>2.2858000000000001</c:v>
                </c:pt>
              </c:numCache>
            </c:numRef>
          </c:val>
          <c:smooth val="1"/>
          <c:extLst xmlns:c16r2="http://schemas.microsoft.com/office/drawing/2015/06/chart">
            <c:ext xmlns:c16="http://schemas.microsoft.com/office/drawing/2014/chart" uri="{C3380CC4-5D6E-409C-BE32-E72D297353CC}">
              <c16:uniqueId val="{00000000-4A44-48FE-A58F-B9301AAB0551}"/>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44225</c:v>
                </c:pt>
                <c:pt idx="1">
                  <c:v>44224</c:v>
                </c:pt>
                <c:pt idx="2">
                  <c:v>44223</c:v>
                </c:pt>
                <c:pt idx="3">
                  <c:v>44222</c:v>
                </c:pt>
                <c:pt idx="4">
                  <c:v>44221</c:v>
                </c:pt>
                <c:pt idx="5">
                  <c:v>44218</c:v>
                </c:pt>
                <c:pt idx="6">
                  <c:v>44217</c:v>
                </c:pt>
                <c:pt idx="7">
                  <c:v>44216</c:v>
                </c:pt>
                <c:pt idx="8">
                  <c:v>44215</c:v>
                </c:pt>
                <c:pt idx="9">
                  <c:v>44214</c:v>
                </c:pt>
                <c:pt idx="10">
                  <c:v>44211</c:v>
                </c:pt>
                <c:pt idx="11">
                  <c:v>44210</c:v>
                </c:pt>
                <c:pt idx="12">
                  <c:v>44209</c:v>
                </c:pt>
                <c:pt idx="13">
                  <c:v>44208</c:v>
                </c:pt>
                <c:pt idx="14">
                  <c:v>44207</c:v>
                </c:pt>
                <c:pt idx="15">
                  <c:v>44204</c:v>
                </c:pt>
                <c:pt idx="16">
                  <c:v>44203</c:v>
                </c:pt>
                <c:pt idx="17">
                  <c:v>44202</c:v>
                </c:pt>
                <c:pt idx="18">
                  <c:v>44201</c:v>
                </c:pt>
                <c:pt idx="19">
                  <c:v>44200</c:v>
                </c:pt>
                <c:pt idx="20">
                  <c:v>44196</c:v>
                </c:pt>
                <c:pt idx="21">
                  <c:v>44195</c:v>
                </c:pt>
                <c:pt idx="22">
                  <c:v>44194</c:v>
                </c:pt>
                <c:pt idx="23">
                  <c:v>44193</c:v>
                </c:pt>
                <c:pt idx="24">
                  <c:v>44190</c:v>
                </c:pt>
                <c:pt idx="25">
                  <c:v>44189</c:v>
                </c:pt>
                <c:pt idx="26">
                  <c:v>44188</c:v>
                </c:pt>
                <c:pt idx="27">
                  <c:v>44187</c:v>
                </c:pt>
                <c:pt idx="28">
                  <c:v>44186</c:v>
                </c:pt>
                <c:pt idx="29">
                  <c:v>44183</c:v>
                </c:pt>
                <c:pt idx="30">
                  <c:v>44182</c:v>
                </c:pt>
                <c:pt idx="31">
                  <c:v>44181</c:v>
                </c:pt>
                <c:pt idx="32">
                  <c:v>44180</c:v>
                </c:pt>
                <c:pt idx="33">
                  <c:v>44179</c:v>
                </c:pt>
                <c:pt idx="34">
                  <c:v>44176</c:v>
                </c:pt>
                <c:pt idx="35">
                  <c:v>44175</c:v>
                </c:pt>
                <c:pt idx="36">
                  <c:v>44174</c:v>
                </c:pt>
                <c:pt idx="37">
                  <c:v>44173</c:v>
                </c:pt>
                <c:pt idx="38">
                  <c:v>44172</c:v>
                </c:pt>
                <c:pt idx="39">
                  <c:v>44169</c:v>
                </c:pt>
                <c:pt idx="40">
                  <c:v>44168</c:v>
                </c:pt>
                <c:pt idx="41">
                  <c:v>44167</c:v>
                </c:pt>
                <c:pt idx="42">
                  <c:v>44166</c:v>
                </c:pt>
                <c:pt idx="43">
                  <c:v>44165</c:v>
                </c:pt>
                <c:pt idx="44">
                  <c:v>44162</c:v>
                </c:pt>
                <c:pt idx="45">
                  <c:v>44161</c:v>
                </c:pt>
                <c:pt idx="46">
                  <c:v>44160</c:v>
                </c:pt>
                <c:pt idx="47">
                  <c:v>44159</c:v>
                </c:pt>
                <c:pt idx="48">
                  <c:v>44158</c:v>
                </c:pt>
                <c:pt idx="49">
                  <c:v>44155</c:v>
                </c:pt>
                <c:pt idx="50">
                  <c:v>44154</c:v>
                </c:pt>
                <c:pt idx="51">
                  <c:v>44153</c:v>
                </c:pt>
                <c:pt idx="52">
                  <c:v>44152</c:v>
                </c:pt>
                <c:pt idx="53">
                  <c:v>44151</c:v>
                </c:pt>
                <c:pt idx="54">
                  <c:v>44148</c:v>
                </c:pt>
                <c:pt idx="55">
                  <c:v>44147</c:v>
                </c:pt>
                <c:pt idx="56">
                  <c:v>44146</c:v>
                </c:pt>
                <c:pt idx="57">
                  <c:v>44145</c:v>
                </c:pt>
                <c:pt idx="58">
                  <c:v>44144</c:v>
                </c:pt>
              </c:numCache>
            </c:numRef>
          </c:cat>
          <c:val>
            <c:numRef>
              <c:f>资金!$C$3:$C$61</c:f>
              <c:numCache>
                <c:formatCode>###,###,###,###,##0.0000</c:formatCode>
                <c:ptCount val="59"/>
                <c:pt idx="0">
                  <c:v>4.3929999999999998</c:v>
                </c:pt>
                <c:pt idx="1">
                  <c:v>4.8315000000000001</c:v>
                </c:pt>
                <c:pt idx="2">
                  <c:v>4.0193000000000003</c:v>
                </c:pt>
                <c:pt idx="3">
                  <c:v>3.3340999999999998</c:v>
                </c:pt>
                <c:pt idx="4">
                  <c:v>2.7936999999999999</c:v>
                </c:pt>
                <c:pt idx="5">
                  <c:v>2.5236000000000001</c:v>
                </c:pt>
                <c:pt idx="6">
                  <c:v>2.7056</c:v>
                </c:pt>
                <c:pt idx="7">
                  <c:v>2.8475000000000001</c:v>
                </c:pt>
                <c:pt idx="8">
                  <c:v>2.7555000000000001</c:v>
                </c:pt>
                <c:pt idx="9">
                  <c:v>2.2976000000000001</c:v>
                </c:pt>
                <c:pt idx="10">
                  <c:v>2.0333999999999999</c:v>
                </c:pt>
                <c:pt idx="11">
                  <c:v>2.0226000000000002</c:v>
                </c:pt>
                <c:pt idx="12">
                  <c:v>2.0316000000000001</c:v>
                </c:pt>
                <c:pt idx="13">
                  <c:v>1.9894000000000001</c:v>
                </c:pt>
                <c:pt idx="14">
                  <c:v>1.9881</c:v>
                </c:pt>
                <c:pt idx="15">
                  <c:v>1.9588000000000001</c:v>
                </c:pt>
                <c:pt idx="16">
                  <c:v>1.9403999999999999</c:v>
                </c:pt>
                <c:pt idx="17">
                  <c:v>1.99</c:v>
                </c:pt>
                <c:pt idx="18">
                  <c:v>1.9370000000000001</c:v>
                </c:pt>
                <c:pt idx="19">
                  <c:v>2.0960000000000001</c:v>
                </c:pt>
                <c:pt idx="20">
                  <c:v>2.5943000000000001</c:v>
                </c:pt>
                <c:pt idx="21">
                  <c:v>3.3605</c:v>
                </c:pt>
                <c:pt idx="22">
                  <c:v>2.9542000000000002</c:v>
                </c:pt>
                <c:pt idx="23">
                  <c:v>2.7515999999999998</c:v>
                </c:pt>
                <c:pt idx="24">
                  <c:v>2.4668000000000001</c:v>
                </c:pt>
                <c:pt idx="25">
                  <c:v>1.7735000000000001</c:v>
                </c:pt>
                <c:pt idx="26">
                  <c:v>2.0478000000000001</c:v>
                </c:pt>
                <c:pt idx="27">
                  <c:v>2.1903999999999999</c:v>
                </c:pt>
                <c:pt idx="28">
                  <c:v>2.2450999999999999</c:v>
                </c:pt>
                <c:pt idx="29">
                  <c:v>2.2906</c:v>
                </c:pt>
                <c:pt idx="30">
                  <c:v>2.1383999999999999</c:v>
                </c:pt>
                <c:pt idx="31">
                  <c:v>2.1206</c:v>
                </c:pt>
                <c:pt idx="32">
                  <c:v>2.3511000000000002</c:v>
                </c:pt>
                <c:pt idx="33">
                  <c:v>2.4319000000000002</c:v>
                </c:pt>
                <c:pt idx="34">
                  <c:v>2.3391000000000002</c:v>
                </c:pt>
                <c:pt idx="35">
                  <c:v>2.2159</c:v>
                </c:pt>
                <c:pt idx="36">
                  <c:v>2.2378999999999998</c:v>
                </c:pt>
                <c:pt idx="37">
                  <c:v>2.3071000000000002</c:v>
                </c:pt>
                <c:pt idx="38">
                  <c:v>2.2997000000000001</c:v>
                </c:pt>
                <c:pt idx="39">
                  <c:v>2.3256999999999999</c:v>
                </c:pt>
                <c:pt idx="40">
                  <c:v>2.2808999999999999</c:v>
                </c:pt>
                <c:pt idx="41">
                  <c:v>2.0720000000000001</c:v>
                </c:pt>
                <c:pt idx="42">
                  <c:v>2.13</c:v>
                </c:pt>
                <c:pt idx="43">
                  <c:v>2.4761000000000002</c:v>
                </c:pt>
                <c:pt idx="44">
                  <c:v>2.5836999999999999</c:v>
                </c:pt>
                <c:pt idx="45">
                  <c:v>2.7519999999999998</c:v>
                </c:pt>
                <c:pt idx="46">
                  <c:v>3.1027</c:v>
                </c:pt>
                <c:pt idx="47">
                  <c:v>3.0409000000000002</c:v>
                </c:pt>
                <c:pt idx="48">
                  <c:v>2.3380000000000001</c:v>
                </c:pt>
                <c:pt idx="49">
                  <c:v>2.3595999999999999</c:v>
                </c:pt>
                <c:pt idx="50">
                  <c:v>2.4016999999999999</c:v>
                </c:pt>
                <c:pt idx="51">
                  <c:v>2.3649</c:v>
                </c:pt>
                <c:pt idx="52">
                  <c:v>2.4184999999999999</c:v>
                </c:pt>
                <c:pt idx="53">
                  <c:v>2.7439</c:v>
                </c:pt>
                <c:pt idx="54">
                  <c:v>3.3582000000000001</c:v>
                </c:pt>
                <c:pt idx="55">
                  <c:v>3.1901000000000002</c:v>
                </c:pt>
                <c:pt idx="56">
                  <c:v>2.7547000000000001</c:v>
                </c:pt>
                <c:pt idx="57">
                  <c:v>2.6374</c:v>
                </c:pt>
                <c:pt idx="58">
                  <c:v>2.5253000000000001</c:v>
                </c:pt>
              </c:numCache>
            </c:numRef>
          </c:val>
          <c:smooth val="1"/>
          <c:extLst xmlns:c16r2="http://schemas.microsoft.com/office/drawing/2015/06/chart">
            <c:ext xmlns:c16="http://schemas.microsoft.com/office/drawing/2014/chart" uri="{C3380CC4-5D6E-409C-BE32-E72D297353CC}">
              <c16:uniqueId val="{00000001-4A44-48FE-A58F-B9301AAB0551}"/>
            </c:ext>
          </c:extLst>
        </c:ser>
        <c:dLbls>
          <c:showLegendKey val="0"/>
          <c:showVal val="0"/>
          <c:showCatName val="0"/>
          <c:showSerName val="0"/>
          <c:showPercent val="0"/>
          <c:showBubbleSize val="0"/>
        </c:dLbls>
        <c:marker val="1"/>
        <c:smooth val="0"/>
        <c:axId val="321006976"/>
        <c:axId val="321016960"/>
      </c:lineChart>
      <c:dateAx>
        <c:axId val="32100697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21016960"/>
        <c:crosses val="autoZero"/>
        <c:auto val="0"/>
        <c:lblOffset val="0"/>
        <c:baseTimeUnit val="days"/>
        <c:majorUnit val="14"/>
        <c:majorTimeUnit val="days"/>
        <c:minorUnit val="7"/>
        <c:minorTimeUnit val="days"/>
      </c:dateAx>
      <c:valAx>
        <c:axId val="321016960"/>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21006976"/>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89.200000000000017</c:v>
                </c:pt>
                <c:pt idx="1">
                  <c:v>56.150000000000013</c:v>
                </c:pt>
                <c:pt idx="2">
                  <c:v>22.739999999999981</c:v>
                </c:pt>
                <c:pt idx="3">
                  <c:v>12.040000000000006</c:v>
                </c:pt>
                <c:pt idx="4">
                  <c:v>6.3299999999999912</c:v>
                </c:pt>
                <c:pt idx="5">
                  <c:v>6.8799999999999972</c:v>
                </c:pt>
                <c:pt idx="6">
                  <c:v>6.009999999999982</c:v>
                </c:pt>
              </c:numCache>
            </c:numRef>
          </c:val>
          <c:extLst xmlns:c16r2="http://schemas.microsoft.com/office/drawing/2015/06/chart">
            <c:ext xmlns:c16="http://schemas.microsoft.com/office/drawing/2014/chart" uri="{C3380CC4-5D6E-409C-BE32-E72D297353CC}">
              <c16:uniqueId val="{00000000-B8E7-45D7-BA3E-DE07226E4DBA}"/>
            </c:ext>
          </c:extLst>
        </c:ser>
        <c:dLbls>
          <c:showLegendKey val="0"/>
          <c:showVal val="0"/>
          <c:showCatName val="0"/>
          <c:showSerName val="0"/>
          <c:showPercent val="0"/>
          <c:showBubbleSize val="0"/>
        </c:dLbls>
        <c:gapWidth val="150"/>
        <c:axId val="321085824"/>
        <c:axId val="321087744"/>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B8E7-45D7-BA3E-DE07226E4DBA}"/>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B8E7-45D7-BA3E-DE07226E4DBA}"/>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B8E7-45D7-BA3E-DE07226E4DBA}"/>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B8E7-45D7-BA3E-DE07226E4DBA}"/>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B8E7-45D7-BA3E-DE07226E4DBA}"/>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B8E7-45D7-BA3E-DE07226E4DBA}"/>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2.7871000000000001</c:v>
                </c:pt>
                <c:pt idx="1">
                  <c:v>2.5931000000000002</c:v>
                </c:pt>
                <c:pt idx="2">
                  <c:v>2.6798999999999999</c:v>
                </c:pt>
                <c:pt idx="3">
                  <c:v>2.8849</c:v>
                </c:pt>
                <c:pt idx="4">
                  <c:v>3.0005999999999999</c:v>
                </c:pt>
                <c:pt idx="5">
                  <c:v>3.18</c:v>
                </c:pt>
                <c:pt idx="6">
                  <c:v>3.1785999999999999</c:v>
                </c:pt>
              </c:numCache>
            </c:numRef>
          </c:val>
          <c:smooth val="0"/>
          <c:extLst xmlns:c16r2="http://schemas.microsoft.com/office/drawing/2015/06/chart">
            <c:ext xmlns:c16="http://schemas.microsoft.com/office/drawing/2014/chart" uri="{C3380CC4-5D6E-409C-BE32-E72D297353CC}">
              <c16:uniqueId val="{00000007-B8E7-45D7-BA3E-DE07226E4DBA}"/>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1.8951</c:v>
                </c:pt>
                <c:pt idx="1">
                  <c:v>2.0316000000000001</c:v>
                </c:pt>
                <c:pt idx="2">
                  <c:v>2.4525000000000001</c:v>
                </c:pt>
                <c:pt idx="3">
                  <c:v>2.7645</c:v>
                </c:pt>
                <c:pt idx="4">
                  <c:v>2.9373</c:v>
                </c:pt>
                <c:pt idx="5">
                  <c:v>3.1112000000000002</c:v>
                </c:pt>
                <c:pt idx="6">
                  <c:v>3.1185</c:v>
                </c:pt>
              </c:numCache>
            </c:numRef>
          </c:val>
          <c:smooth val="0"/>
          <c:extLst xmlns:c16r2="http://schemas.microsoft.com/office/drawing/2015/06/chart">
            <c:ext xmlns:c16="http://schemas.microsoft.com/office/drawing/2014/chart" uri="{C3380CC4-5D6E-409C-BE32-E72D297353CC}">
              <c16:uniqueId val="{00000008-B8E7-45D7-BA3E-DE07226E4DBA}"/>
            </c:ext>
          </c:extLst>
        </c:ser>
        <c:dLbls>
          <c:showLegendKey val="0"/>
          <c:showVal val="0"/>
          <c:showCatName val="0"/>
          <c:showSerName val="0"/>
          <c:showPercent val="0"/>
          <c:showBubbleSize val="0"/>
        </c:dLbls>
        <c:marker val="1"/>
        <c:smooth val="0"/>
        <c:axId val="321111552"/>
        <c:axId val="321110016"/>
      </c:lineChart>
      <c:dateAx>
        <c:axId val="32108582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21087744"/>
        <c:crosses val="autoZero"/>
        <c:auto val="0"/>
        <c:lblOffset val="0"/>
        <c:baseTimeUnit val="days"/>
      </c:dateAx>
      <c:valAx>
        <c:axId val="32108774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21085824"/>
        <c:crosses val="autoZero"/>
        <c:crossBetween val="between"/>
      </c:valAx>
      <c:valAx>
        <c:axId val="321110016"/>
        <c:scaling>
          <c:orientation val="minMax"/>
        </c:scaling>
        <c:delete val="0"/>
        <c:axPos val="r"/>
        <c:numFmt formatCode="#,##0.0_);[Red]\(#,##0.0\)" sourceLinked="0"/>
        <c:majorTickMark val="out"/>
        <c:minorTickMark val="none"/>
        <c:tickLblPos val="nextTo"/>
        <c:spPr>
          <a:ln w="3175">
            <a:solidFill>
              <a:sysClr val="windowText" lastClr="000000"/>
            </a:solidFill>
          </a:ln>
        </c:spPr>
        <c:crossAx val="321111552"/>
        <c:crosses val="max"/>
        <c:crossBetween val="between"/>
      </c:valAx>
      <c:dateAx>
        <c:axId val="321111552"/>
        <c:scaling>
          <c:orientation val="minMax"/>
        </c:scaling>
        <c:delete val="1"/>
        <c:axPos val="b"/>
        <c:numFmt formatCode="General" sourceLinked="1"/>
        <c:majorTickMark val="out"/>
        <c:minorTickMark val="none"/>
        <c:tickLblPos val="nextTo"/>
        <c:crossAx val="321110016"/>
        <c:crosses val="autoZero"/>
        <c:auto val="0"/>
        <c:lblOffset val="100"/>
        <c:baseTimeUnit val="years"/>
      </c:dateAx>
    </c:plotArea>
    <c:legend>
      <c:legendPos val="r"/>
      <c:layout>
        <c:manualLayout>
          <c:xMode val="edge"/>
          <c:yMode val="edge"/>
          <c:x val="9.7200331432210615E-2"/>
          <c:y val="2.3336285264018604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90.200000000000017</c:v>
                </c:pt>
                <c:pt idx="1">
                  <c:v>71.02</c:v>
                </c:pt>
                <c:pt idx="2">
                  <c:v>31.759999999999966</c:v>
                </c:pt>
                <c:pt idx="3">
                  <c:v>21.229999999999993</c:v>
                </c:pt>
                <c:pt idx="4">
                  <c:v>11.920000000000019</c:v>
                </c:pt>
                <c:pt idx="5">
                  <c:v>5.9499999999999886</c:v>
                </c:pt>
                <c:pt idx="6">
                  <c:v>7.9600000000000115</c:v>
                </c:pt>
              </c:numCache>
            </c:numRef>
          </c:val>
          <c:extLst xmlns:c16r2="http://schemas.microsoft.com/office/drawing/2015/06/chart">
            <c:ext xmlns:c16="http://schemas.microsoft.com/office/drawing/2014/chart" uri="{C3380CC4-5D6E-409C-BE32-E72D297353CC}">
              <c16:uniqueId val="{00000000-163D-483B-8C17-F5A051A7D203}"/>
            </c:ext>
          </c:extLst>
        </c:ser>
        <c:dLbls>
          <c:showLegendKey val="0"/>
          <c:showVal val="0"/>
          <c:showCatName val="0"/>
          <c:showSerName val="0"/>
          <c:showPercent val="0"/>
          <c:showBubbleSize val="0"/>
        </c:dLbls>
        <c:gapWidth val="150"/>
        <c:axId val="322528384"/>
        <c:axId val="322530304"/>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163D-483B-8C17-F5A051A7D203}"/>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163D-483B-8C17-F5A051A7D203}"/>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163D-483B-8C17-F5A051A7D203}"/>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163D-483B-8C17-F5A051A7D203}"/>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163D-483B-8C17-F5A051A7D203}"/>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163D-483B-8C17-F5A051A7D203}"/>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2.9022000000000001</c:v>
                </c:pt>
                <c:pt idx="1">
                  <c:v>2.8557999999999999</c:v>
                </c:pt>
                <c:pt idx="2">
                  <c:v>2.8506999999999998</c:v>
                </c:pt>
                <c:pt idx="3">
                  <c:v>3.1732999999999998</c:v>
                </c:pt>
                <c:pt idx="4">
                  <c:v>3.4034</c:v>
                </c:pt>
                <c:pt idx="5">
                  <c:v>3.4992000000000001</c:v>
                </c:pt>
                <c:pt idx="6">
                  <c:v>3.5895000000000001</c:v>
                </c:pt>
              </c:numCache>
            </c:numRef>
          </c:val>
          <c:smooth val="0"/>
          <c:extLst xmlns:c16r2="http://schemas.microsoft.com/office/drawing/2015/06/chart">
            <c:ext xmlns:c16="http://schemas.microsoft.com/office/drawing/2014/chart" uri="{C3380CC4-5D6E-409C-BE32-E72D297353CC}">
              <c16:uniqueId val="{00000007-163D-483B-8C17-F5A051A7D203}"/>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2.0002</c:v>
                </c:pt>
                <c:pt idx="1">
                  <c:v>2.1456</c:v>
                </c:pt>
                <c:pt idx="2">
                  <c:v>2.5331000000000001</c:v>
                </c:pt>
                <c:pt idx="3">
                  <c:v>2.9609999999999999</c:v>
                </c:pt>
                <c:pt idx="4">
                  <c:v>3.2841999999999998</c:v>
                </c:pt>
                <c:pt idx="5">
                  <c:v>3.4397000000000002</c:v>
                </c:pt>
                <c:pt idx="6">
                  <c:v>3.5099</c:v>
                </c:pt>
              </c:numCache>
            </c:numRef>
          </c:val>
          <c:smooth val="0"/>
          <c:extLst xmlns:c16r2="http://schemas.microsoft.com/office/drawing/2015/06/chart">
            <c:ext xmlns:c16="http://schemas.microsoft.com/office/drawing/2014/chart" uri="{C3380CC4-5D6E-409C-BE32-E72D297353CC}">
              <c16:uniqueId val="{00000008-163D-483B-8C17-F5A051A7D203}"/>
            </c:ext>
          </c:extLst>
        </c:ser>
        <c:dLbls>
          <c:showLegendKey val="0"/>
          <c:showVal val="0"/>
          <c:showCatName val="0"/>
          <c:showSerName val="0"/>
          <c:showPercent val="0"/>
          <c:showBubbleSize val="0"/>
        </c:dLbls>
        <c:marker val="1"/>
        <c:smooth val="0"/>
        <c:axId val="322550016"/>
        <c:axId val="322548480"/>
      </c:lineChart>
      <c:dateAx>
        <c:axId val="32252838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22530304"/>
        <c:crosses val="autoZero"/>
        <c:auto val="0"/>
        <c:lblOffset val="0"/>
        <c:baseTimeUnit val="days"/>
      </c:dateAx>
      <c:valAx>
        <c:axId val="32253030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22528384"/>
        <c:crosses val="autoZero"/>
        <c:crossBetween val="between"/>
      </c:valAx>
      <c:valAx>
        <c:axId val="322548480"/>
        <c:scaling>
          <c:orientation val="minMax"/>
        </c:scaling>
        <c:delete val="0"/>
        <c:axPos val="r"/>
        <c:numFmt formatCode="#,##0.0_);[Red]\(#,##0.0\)" sourceLinked="0"/>
        <c:majorTickMark val="out"/>
        <c:minorTickMark val="none"/>
        <c:tickLblPos val="nextTo"/>
        <c:spPr>
          <a:ln w="3175">
            <a:solidFill>
              <a:sysClr val="windowText" lastClr="000000"/>
            </a:solidFill>
          </a:ln>
        </c:spPr>
        <c:crossAx val="322550016"/>
        <c:crosses val="max"/>
        <c:crossBetween val="between"/>
      </c:valAx>
      <c:dateAx>
        <c:axId val="322550016"/>
        <c:scaling>
          <c:orientation val="minMax"/>
        </c:scaling>
        <c:delete val="1"/>
        <c:axPos val="b"/>
        <c:numFmt formatCode="General" sourceLinked="1"/>
        <c:majorTickMark val="out"/>
        <c:minorTickMark val="none"/>
        <c:tickLblPos val="nextTo"/>
        <c:crossAx val="322548480"/>
        <c:crosses val="autoZero"/>
        <c:auto val="0"/>
        <c:lblOffset val="100"/>
        <c:baseTimeUnit val="years"/>
      </c:dateAx>
    </c:plotArea>
    <c:legend>
      <c:legendPos val="r"/>
      <c:layout>
        <c:manualLayout>
          <c:xMode val="edge"/>
          <c:yMode val="edge"/>
          <c:x val="7.6011098993820178E-2"/>
          <c:y val="2.334002662274665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44225</c:v>
                </c:pt>
                <c:pt idx="1">
                  <c:v>44218</c:v>
                </c:pt>
                <c:pt idx="2">
                  <c:v>44211</c:v>
                </c:pt>
                <c:pt idx="3">
                  <c:v>44204</c:v>
                </c:pt>
                <c:pt idx="4">
                  <c:v>44196</c:v>
                </c:pt>
                <c:pt idx="5">
                  <c:v>44190</c:v>
                </c:pt>
                <c:pt idx="6">
                  <c:v>44183</c:v>
                </c:pt>
                <c:pt idx="7">
                  <c:v>44176</c:v>
                </c:pt>
                <c:pt idx="8">
                  <c:v>44169</c:v>
                </c:pt>
                <c:pt idx="9">
                  <c:v>44162</c:v>
                </c:pt>
                <c:pt idx="10">
                  <c:v>44155</c:v>
                </c:pt>
                <c:pt idx="11">
                  <c:v>44148</c:v>
                </c:pt>
                <c:pt idx="12">
                  <c:v>44141</c:v>
                </c:pt>
                <c:pt idx="13">
                  <c:v>44134</c:v>
                </c:pt>
                <c:pt idx="14">
                  <c:v>44127</c:v>
                </c:pt>
                <c:pt idx="15">
                  <c:v>44120</c:v>
                </c:pt>
                <c:pt idx="16">
                  <c:v>44113</c:v>
                </c:pt>
                <c:pt idx="17">
                  <c:v>44104</c:v>
                </c:pt>
                <c:pt idx="18">
                  <c:v>44099</c:v>
                </c:pt>
                <c:pt idx="19">
                  <c:v>44092</c:v>
                </c:pt>
                <c:pt idx="20">
                  <c:v>44085</c:v>
                </c:pt>
                <c:pt idx="21">
                  <c:v>44078</c:v>
                </c:pt>
                <c:pt idx="22">
                  <c:v>44071</c:v>
                </c:pt>
                <c:pt idx="23">
                  <c:v>44064</c:v>
                </c:pt>
              </c:numCache>
            </c:numRef>
          </c:cat>
          <c:val>
            <c:numRef>
              <c:f>转债!$H$5:$H$28</c:f>
              <c:numCache>
                <c:formatCode>General</c:formatCode>
                <c:ptCount val="24"/>
                <c:pt idx="0">
                  <c:v>-2.4328459469949881</c:v>
                </c:pt>
                <c:pt idx="1">
                  <c:v>1.4217047662362647</c:v>
                </c:pt>
                <c:pt idx="2">
                  <c:v>0.49886405544570245</c:v>
                </c:pt>
                <c:pt idx="3">
                  <c:v>0.54138805650800759</c:v>
                </c:pt>
                <c:pt idx="4">
                  <c:v>-1.0008999390363815</c:v>
                </c:pt>
                <c:pt idx="5">
                  <c:v>-2.1678101375928294</c:v>
                </c:pt>
                <c:pt idx="6">
                  <c:v>-2.3398414946084189</c:v>
                </c:pt>
                <c:pt idx="7">
                  <c:v>-2.494911635018271</c:v>
                </c:pt>
                <c:pt idx="8">
                  <c:v>-0.81255248300383665</c:v>
                </c:pt>
                <c:pt idx="9">
                  <c:v>-0.97708434804953948</c:v>
                </c:pt>
                <c:pt idx="10">
                  <c:v>-1.6151862830797392</c:v>
                </c:pt>
                <c:pt idx="11">
                  <c:v>-1.5858603126884918</c:v>
                </c:pt>
                <c:pt idx="12">
                  <c:v>-1.235722741362677</c:v>
                </c:pt>
                <c:pt idx="13">
                  <c:v>-1.6615809896748823</c:v>
                </c:pt>
                <c:pt idx="14">
                  <c:v>-1.3903628033799742</c:v>
                </c:pt>
                <c:pt idx="15">
                  <c:v>-0.94412959122123219</c:v>
                </c:pt>
                <c:pt idx="16">
                  <c:v>-2.4983522621585763</c:v>
                </c:pt>
                <c:pt idx="17">
                  <c:v>-3.4440677674523079</c:v>
                </c:pt>
                <c:pt idx="18">
                  <c:v>-4.3784130752432819</c:v>
                </c:pt>
                <c:pt idx="19">
                  <c:v>-2.323767314687275</c:v>
                </c:pt>
                <c:pt idx="20">
                  <c:v>-2.440237919366739</c:v>
                </c:pt>
                <c:pt idx="21">
                  <c:v>0.15517766000798794</c:v>
                </c:pt>
                <c:pt idx="22">
                  <c:v>-0.10526168657392088</c:v>
                </c:pt>
                <c:pt idx="23">
                  <c:v>0</c:v>
                </c:pt>
              </c:numCache>
            </c:numRef>
          </c:val>
          <c:smooth val="1"/>
          <c:extLst xmlns:c16r2="http://schemas.microsoft.com/office/drawing/2015/06/chart">
            <c:ext xmlns:c16="http://schemas.microsoft.com/office/drawing/2014/chart" uri="{C3380CC4-5D6E-409C-BE32-E72D297353CC}">
              <c16:uniqueId val="{00000000-CE10-468A-8851-0504F44D0DA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44225</c:v>
                </c:pt>
                <c:pt idx="1">
                  <c:v>44218</c:v>
                </c:pt>
                <c:pt idx="2">
                  <c:v>44211</c:v>
                </c:pt>
                <c:pt idx="3">
                  <c:v>44204</c:v>
                </c:pt>
                <c:pt idx="4">
                  <c:v>44196</c:v>
                </c:pt>
                <c:pt idx="5">
                  <c:v>44190</c:v>
                </c:pt>
                <c:pt idx="6">
                  <c:v>44183</c:v>
                </c:pt>
                <c:pt idx="7">
                  <c:v>44176</c:v>
                </c:pt>
                <c:pt idx="8">
                  <c:v>44169</c:v>
                </c:pt>
                <c:pt idx="9">
                  <c:v>44162</c:v>
                </c:pt>
                <c:pt idx="10">
                  <c:v>44155</c:v>
                </c:pt>
                <c:pt idx="11">
                  <c:v>44148</c:v>
                </c:pt>
                <c:pt idx="12">
                  <c:v>44141</c:v>
                </c:pt>
                <c:pt idx="13">
                  <c:v>44134</c:v>
                </c:pt>
                <c:pt idx="14">
                  <c:v>44127</c:v>
                </c:pt>
                <c:pt idx="15">
                  <c:v>44120</c:v>
                </c:pt>
                <c:pt idx="16">
                  <c:v>44113</c:v>
                </c:pt>
                <c:pt idx="17">
                  <c:v>44104</c:v>
                </c:pt>
                <c:pt idx="18">
                  <c:v>44099</c:v>
                </c:pt>
                <c:pt idx="19">
                  <c:v>44092</c:v>
                </c:pt>
                <c:pt idx="20">
                  <c:v>44085</c:v>
                </c:pt>
                <c:pt idx="21">
                  <c:v>44078</c:v>
                </c:pt>
                <c:pt idx="22">
                  <c:v>44071</c:v>
                </c:pt>
                <c:pt idx="23">
                  <c:v>44064</c:v>
                </c:pt>
              </c:numCache>
            </c:numRef>
          </c:cat>
          <c:val>
            <c:numRef>
              <c:f>转债!$I$5:$I$28</c:f>
              <c:numCache>
                <c:formatCode>General</c:formatCode>
                <c:ptCount val="24"/>
                <c:pt idx="0">
                  <c:v>-0.34450434553929821</c:v>
                </c:pt>
                <c:pt idx="1">
                  <c:v>3.4017789352702721E-2</c:v>
                </c:pt>
                <c:pt idx="2">
                  <c:v>-4.0634715959941836E-2</c:v>
                </c:pt>
                <c:pt idx="3">
                  <c:v>-3.0030666909852677E-2</c:v>
                </c:pt>
                <c:pt idx="4">
                  <c:v>-5.4886557883249143E-2</c:v>
                </c:pt>
                <c:pt idx="5">
                  <c:v>-0.33050700079316764</c:v>
                </c:pt>
                <c:pt idx="6">
                  <c:v>-0.6494767962198611</c:v>
                </c:pt>
                <c:pt idx="7">
                  <c:v>-0.77876136223855585</c:v>
                </c:pt>
                <c:pt idx="8">
                  <c:v>-0.82202588236292007</c:v>
                </c:pt>
                <c:pt idx="9">
                  <c:v>-0.99576262199958521</c:v>
                </c:pt>
                <c:pt idx="10">
                  <c:v>-1.1802730754711277</c:v>
                </c:pt>
                <c:pt idx="11">
                  <c:v>-0.9137296985480825</c:v>
                </c:pt>
                <c:pt idx="12">
                  <c:v>-0.6950317909390491</c:v>
                </c:pt>
                <c:pt idx="13">
                  <c:v>-0.71632472143162707</c:v>
                </c:pt>
                <c:pt idx="14">
                  <c:v>-0.82474051891973099</c:v>
                </c:pt>
                <c:pt idx="15">
                  <c:v>-1.0705847920970069</c:v>
                </c:pt>
                <c:pt idx="16">
                  <c:v>-0.99542329242997551</c:v>
                </c:pt>
                <c:pt idx="17">
                  <c:v>-0.79182555066825699</c:v>
                </c:pt>
                <c:pt idx="18">
                  <c:v>-0.68943285304059465</c:v>
                </c:pt>
                <c:pt idx="19">
                  <c:v>-0.69231715438222707</c:v>
                </c:pt>
                <c:pt idx="20">
                  <c:v>-0.71131961027998125</c:v>
                </c:pt>
                <c:pt idx="21">
                  <c:v>-0.73829631106340221</c:v>
                </c:pt>
                <c:pt idx="22">
                  <c:v>-0.49092505482293269</c:v>
                </c:pt>
                <c:pt idx="23">
                  <c:v>0</c:v>
                </c:pt>
              </c:numCache>
            </c:numRef>
          </c:val>
          <c:smooth val="1"/>
          <c:extLst xmlns:c16r2="http://schemas.microsoft.com/office/drawing/2015/06/chart">
            <c:ext xmlns:c16="http://schemas.microsoft.com/office/drawing/2014/chart" uri="{C3380CC4-5D6E-409C-BE32-E72D297353CC}">
              <c16:uniqueId val="{00000001-CE10-468A-8851-0504F44D0DA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44225</c:v>
                </c:pt>
                <c:pt idx="1">
                  <c:v>44218</c:v>
                </c:pt>
                <c:pt idx="2">
                  <c:v>44211</c:v>
                </c:pt>
                <c:pt idx="3">
                  <c:v>44204</c:v>
                </c:pt>
                <c:pt idx="4">
                  <c:v>44196</c:v>
                </c:pt>
                <c:pt idx="5">
                  <c:v>44190</c:v>
                </c:pt>
                <c:pt idx="6">
                  <c:v>44183</c:v>
                </c:pt>
                <c:pt idx="7">
                  <c:v>44176</c:v>
                </c:pt>
                <c:pt idx="8">
                  <c:v>44169</c:v>
                </c:pt>
                <c:pt idx="9">
                  <c:v>44162</c:v>
                </c:pt>
                <c:pt idx="10">
                  <c:v>44155</c:v>
                </c:pt>
                <c:pt idx="11">
                  <c:v>44148</c:v>
                </c:pt>
                <c:pt idx="12">
                  <c:v>44141</c:v>
                </c:pt>
                <c:pt idx="13">
                  <c:v>44134</c:v>
                </c:pt>
                <c:pt idx="14">
                  <c:v>44127</c:v>
                </c:pt>
                <c:pt idx="15">
                  <c:v>44120</c:v>
                </c:pt>
                <c:pt idx="16">
                  <c:v>44113</c:v>
                </c:pt>
                <c:pt idx="17">
                  <c:v>44104</c:v>
                </c:pt>
                <c:pt idx="18">
                  <c:v>44099</c:v>
                </c:pt>
                <c:pt idx="19">
                  <c:v>44092</c:v>
                </c:pt>
                <c:pt idx="20">
                  <c:v>44085</c:v>
                </c:pt>
                <c:pt idx="21">
                  <c:v>44078</c:v>
                </c:pt>
                <c:pt idx="22">
                  <c:v>44071</c:v>
                </c:pt>
                <c:pt idx="23">
                  <c:v>44064</c:v>
                </c:pt>
              </c:numCache>
            </c:numRef>
          </c:cat>
          <c:val>
            <c:numRef>
              <c:f>转债!$J$5:$J$28</c:f>
              <c:numCache>
                <c:formatCode>General</c:formatCode>
                <c:ptCount val="24"/>
                <c:pt idx="0">
                  <c:v>13.416879658490878</c:v>
                </c:pt>
                <c:pt idx="1">
                  <c:v>18.032659318552046</c:v>
                </c:pt>
                <c:pt idx="2">
                  <c:v>15.665663899696082</c:v>
                </c:pt>
                <c:pt idx="3">
                  <c:v>16.457158747236143</c:v>
                </c:pt>
                <c:pt idx="4">
                  <c:v>10.435723111878836</c:v>
                </c:pt>
                <c:pt idx="5">
                  <c:v>6.8485133570133083</c:v>
                </c:pt>
                <c:pt idx="6">
                  <c:v>5.957491996290365</c:v>
                </c:pt>
                <c:pt idx="7">
                  <c:v>3.6192366726497172</c:v>
                </c:pt>
                <c:pt idx="8">
                  <c:v>7.3550485287378953</c:v>
                </c:pt>
                <c:pt idx="9">
                  <c:v>5.5505532701436877</c:v>
                </c:pt>
                <c:pt idx="10">
                  <c:v>4.7563586083207543</c:v>
                </c:pt>
                <c:pt idx="11">
                  <c:v>2.9246193839333356</c:v>
                </c:pt>
                <c:pt idx="12">
                  <c:v>3.5363477120059494</c:v>
                </c:pt>
                <c:pt idx="13">
                  <c:v>-0.49820050172890706</c:v>
                </c:pt>
                <c:pt idx="14">
                  <c:v>-7.5230303800633003E-3</c:v>
                </c:pt>
                <c:pt idx="15">
                  <c:v>1.5434482235698876</c:v>
                </c:pt>
                <c:pt idx="16">
                  <c:v>-0.79896489883293231</c:v>
                </c:pt>
                <c:pt idx="17">
                  <c:v>-2.7855937825099542</c:v>
                </c:pt>
                <c:pt idx="18">
                  <c:v>-3.1537708893097149</c:v>
                </c:pt>
                <c:pt idx="19">
                  <c:v>0.38665409324587507</c:v>
                </c:pt>
                <c:pt idx="20">
                  <c:v>-1.9403166848247277</c:v>
                </c:pt>
                <c:pt idx="21">
                  <c:v>1.0887393140916357</c:v>
                </c:pt>
                <c:pt idx="22">
                  <c:v>2.6578993482533786</c:v>
                </c:pt>
                <c:pt idx="23">
                  <c:v>0</c:v>
                </c:pt>
              </c:numCache>
            </c:numRef>
          </c:val>
          <c:smooth val="1"/>
          <c:extLst xmlns:c16r2="http://schemas.microsoft.com/office/drawing/2015/06/chart">
            <c:ext xmlns:c16="http://schemas.microsoft.com/office/drawing/2014/chart" uri="{C3380CC4-5D6E-409C-BE32-E72D297353CC}">
              <c16:uniqueId val="{00000002-CE10-468A-8851-0504F44D0DA6}"/>
            </c:ext>
          </c:extLst>
        </c:ser>
        <c:dLbls>
          <c:showLegendKey val="0"/>
          <c:showVal val="0"/>
          <c:showCatName val="0"/>
          <c:showSerName val="0"/>
          <c:showPercent val="0"/>
          <c:showBubbleSize val="0"/>
        </c:dLbls>
        <c:marker val="1"/>
        <c:smooth val="0"/>
        <c:axId val="322621824"/>
        <c:axId val="322623360"/>
      </c:lineChart>
      <c:dateAx>
        <c:axId val="32262182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322623360"/>
        <c:crosses val="autoZero"/>
        <c:auto val="0"/>
        <c:lblOffset val="0"/>
        <c:baseTimeUnit val="days"/>
        <c:majorUnit val="14"/>
        <c:majorTimeUnit val="days"/>
      </c:dateAx>
      <c:valAx>
        <c:axId val="32262336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22621824"/>
        <c:crosses val="autoZero"/>
        <c:crossBetween val="between"/>
      </c:valAx>
      <c:spPr>
        <a:noFill/>
        <a:ln w="25400">
          <a:noFill/>
        </a:ln>
      </c:spPr>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12B-4DBA-90B4-1C19E9C4A6A3}"/>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12B-4DBA-90B4-1C19E9C4A6A3}"/>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12B-4DBA-90B4-1C19E9C4A6A3}"/>
            </c:ext>
          </c:extLst>
        </c:ser>
        <c:dLbls>
          <c:showLegendKey val="0"/>
          <c:showVal val="0"/>
          <c:showCatName val="0"/>
          <c:showSerName val="0"/>
          <c:showPercent val="0"/>
          <c:showBubbleSize val="0"/>
        </c:dLbls>
        <c:marker val="1"/>
        <c:smooth val="0"/>
        <c:axId val="298609280"/>
        <c:axId val="298615168"/>
      </c:lineChart>
      <c:dateAx>
        <c:axId val="29860928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98615168"/>
        <c:crosses val="autoZero"/>
        <c:auto val="0"/>
        <c:lblOffset val="0"/>
        <c:baseTimeUnit val="days"/>
        <c:majorUnit val="1"/>
        <c:majorTimeUnit val="months"/>
      </c:dateAx>
      <c:valAx>
        <c:axId val="298615168"/>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860928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CFB2-47F5-B834-3A68DB985AD8}"/>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CFB2-47F5-B834-3A68DB985AD8}"/>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CFB2-47F5-B834-3A68DB985AD8}"/>
            </c:ext>
          </c:extLst>
        </c:ser>
        <c:dLbls>
          <c:showLegendKey val="0"/>
          <c:showVal val="0"/>
          <c:showCatName val="0"/>
          <c:showSerName val="0"/>
          <c:showPercent val="0"/>
          <c:showBubbleSize val="0"/>
        </c:dLbls>
        <c:marker val="1"/>
        <c:smooth val="0"/>
        <c:axId val="322771968"/>
        <c:axId val="322777856"/>
      </c:lineChart>
      <c:dateAx>
        <c:axId val="32277196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22777856"/>
        <c:crosses val="autoZero"/>
        <c:auto val="0"/>
        <c:lblOffset val="0"/>
        <c:baseTimeUnit val="days"/>
        <c:majorUnit val="1"/>
        <c:majorTimeUnit val="months"/>
      </c:dateAx>
      <c:valAx>
        <c:axId val="322777856"/>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2277196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44226</c:v>
                </c:pt>
                <c:pt idx="1">
                  <c:v>44219</c:v>
                </c:pt>
                <c:pt idx="2">
                  <c:v>44212</c:v>
                </c:pt>
                <c:pt idx="3">
                  <c:v>44205</c:v>
                </c:pt>
                <c:pt idx="4">
                  <c:v>44198</c:v>
                </c:pt>
                <c:pt idx="5">
                  <c:v>44191</c:v>
                </c:pt>
                <c:pt idx="6">
                  <c:v>44184</c:v>
                </c:pt>
                <c:pt idx="7">
                  <c:v>44177</c:v>
                </c:pt>
                <c:pt idx="8">
                  <c:v>44170</c:v>
                </c:pt>
                <c:pt idx="9">
                  <c:v>44163</c:v>
                </c:pt>
                <c:pt idx="10">
                  <c:v>44156</c:v>
                </c:pt>
                <c:pt idx="11">
                  <c:v>44149</c:v>
                </c:pt>
                <c:pt idx="12">
                  <c:v>44142</c:v>
                </c:pt>
                <c:pt idx="13">
                  <c:v>44135</c:v>
                </c:pt>
                <c:pt idx="14">
                  <c:v>44128</c:v>
                </c:pt>
                <c:pt idx="15">
                  <c:v>44121</c:v>
                </c:pt>
                <c:pt idx="16">
                  <c:v>44114</c:v>
                </c:pt>
                <c:pt idx="17">
                  <c:v>44107</c:v>
                </c:pt>
                <c:pt idx="18">
                  <c:v>44100</c:v>
                </c:pt>
                <c:pt idx="19">
                  <c:v>44093</c:v>
                </c:pt>
                <c:pt idx="20">
                  <c:v>44086</c:v>
                </c:pt>
                <c:pt idx="21">
                  <c:v>44079</c:v>
                </c:pt>
                <c:pt idx="22">
                  <c:v>44072</c:v>
                </c:pt>
                <c:pt idx="23">
                  <c:v>44065</c:v>
                </c:pt>
                <c:pt idx="24">
                  <c:v>44058</c:v>
                </c:pt>
                <c:pt idx="25">
                  <c:v>44051</c:v>
                </c:pt>
              </c:numCache>
            </c:numRef>
          </c:cat>
          <c:val>
            <c:numRef>
              <c:f>汇率!$B$3:$B$28</c:f>
              <c:numCache>
                <c:formatCode>###,###,###,###,##0.00</c:formatCode>
                <c:ptCount val="26"/>
                <c:pt idx="0">
                  <c:v>6.4611999999999998</c:v>
                </c:pt>
                <c:pt idx="1">
                  <c:v>6.4776999999999996</c:v>
                </c:pt>
                <c:pt idx="2">
                  <c:v>6.4752000000000001</c:v>
                </c:pt>
                <c:pt idx="3">
                  <c:v>6.4718999999999998</c:v>
                </c:pt>
                <c:pt idx="4">
                  <c:v>6.5397999999999996</c:v>
                </c:pt>
                <c:pt idx="5">
                  <c:v>6.5240999999999998</c:v>
                </c:pt>
                <c:pt idx="6">
                  <c:v>6.5415000000000001</c:v>
                </c:pt>
                <c:pt idx="7">
                  <c:v>6.5411000000000001</c:v>
                </c:pt>
                <c:pt idx="8">
                  <c:v>6.5301999999999998</c:v>
                </c:pt>
                <c:pt idx="9">
                  <c:v>6.5823</c:v>
                </c:pt>
                <c:pt idx="10">
                  <c:v>6.5713999999999997</c:v>
                </c:pt>
                <c:pt idx="11">
                  <c:v>6.6143999999999998</c:v>
                </c:pt>
                <c:pt idx="12">
                  <c:v>6.6215000000000002</c:v>
                </c:pt>
                <c:pt idx="13">
                  <c:v>6.7001999999999997</c:v>
                </c:pt>
                <c:pt idx="14">
                  <c:v>6.6689999999999996</c:v>
                </c:pt>
                <c:pt idx="15">
                  <c:v>6.6981999999999999</c:v>
                </c:pt>
                <c:pt idx="16">
                  <c:v>6.7134999999999998</c:v>
                </c:pt>
                <c:pt idx="17">
                  <c:v>6.8106</c:v>
                </c:pt>
                <c:pt idx="18">
                  <c:v>6.8201999999999998</c:v>
                </c:pt>
                <c:pt idx="19">
                  <c:v>6.7587999999999999</c:v>
                </c:pt>
                <c:pt idx="20">
                  <c:v>6.8369</c:v>
                </c:pt>
                <c:pt idx="21">
                  <c:v>6.8392999999999997</c:v>
                </c:pt>
                <c:pt idx="22">
                  <c:v>6.8651</c:v>
                </c:pt>
                <c:pt idx="23">
                  <c:v>6.9135999999999997</c:v>
                </c:pt>
                <c:pt idx="24">
                  <c:v>6.9497999999999998</c:v>
                </c:pt>
                <c:pt idx="25">
                  <c:v>6.9598000000000004</c:v>
                </c:pt>
              </c:numCache>
            </c:numRef>
          </c:val>
          <c:smooth val="1"/>
          <c:extLst xmlns:c16r2="http://schemas.microsoft.com/office/drawing/2015/06/chart">
            <c:ext xmlns:c16="http://schemas.microsoft.com/office/drawing/2014/chart" uri="{C3380CC4-5D6E-409C-BE32-E72D297353CC}">
              <c16:uniqueId val="{00000000-9BEF-4439-BC12-0493237ECEFA}"/>
            </c:ext>
          </c:extLst>
        </c:ser>
        <c:dLbls>
          <c:showLegendKey val="0"/>
          <c:showVal val="0"/>
          <c:showCatName val="0"/>
          <c:showSerName val="0"/>
          <c:showPercent val="0"/>
          <c:showBubbleSize val="0"/>
        </c:dLbls>
        <c:marker val="1"/>
        <c:smooth val="0"/>
        <c:axId val="322821504"/>
        <c:axId val="322638976"/>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44226</c:v>
                </c:pt>
                <c:pt idx="1">
                  <c:v>44219</c:v>
                </c:pt>
                <c:pt idx="2">
                  <c:v>44212</c:v>
                </c:pt>
                <c:pt idx="3">
                  <c:v>44205</c:v>
                </c:pt>
                <c:pt idx="4">
                  <c:v>44198</c:v>
                </c:pt>
                <c:pt idx="5">
                  <c:v>44191</c:v>
                </c:pt>
                <c:pt idx="6">
                  <c:v>44184</c:v>
                </c:pt>
                <c:pt idx="7">
                  <c:v>44177</c:v>
                </c:pt>
                <c:pt idx="8">
                  <c:v>44170</c:v>
                </c:pt>
                <c:pt idx="9">
                  <c:v>44163</c:v>
                </c:pt>
                <c:pt idx="10">
                  <c:v>44156</c:v>
                </c:pt>
                <c:pt idx="11">
                  <c:v>44149</c:v>
                </c:pt>
                <c:pt idx="12">
                  <c:v>44142</c:v>
                </c:pt>
                <c:pt idx="13">
                  <c:v>44135</c:v>
                </c:pt>
                <c:pt idx="14">
                  <c:v>44128</c:v>
                </c:pt>
                <c:pt idx="15">
                  <c:v>44121</c:v>
                </c:pt>
                <c:pt idx="16">
                  <c:v>44114</c:v>
                </c:pt>
                <c:pt idx="17">
                  <c:v>44107</c:v>
                </c:pt>
                <c:pt idx="18">
                  <c:v>44100</c:v>
                </c:pt>
                <c:pt idx="19">
                  <c:v>44093</c:v>
                </c:pt>
                <c:pt idx="20">
                  <c:v>44086</c:v>
                </c:pt>
                <c:pt idx="21">
                  <c:v>44079</c:v>
                </c:pt>
                <c:pt idx="22">
                  <c:v>44072</c:v>
                </c:pt>
                <c:pt idx="23">
                  <c:v>44065</c:v>
                </c:pt>
                <c:pt idx="24">
                  <c:v>44058</c:v>
                </c:pt>
                <c:pt idx="25">
                  <c:v>44051</c:v>
                </c:pt>
              </c:numCache>
            </c:numRef>
          </c:cat>
          <c:val>
            <c:numRef>
              <c:f>汇率!$C$3:$C$28</c:f>
              <c:numCache>
                <c:formatCode>###,###,###,###,##0.00</c:formatCode>
                <c:ptCount val="26"/>
                <c:pt idx="0">
                  <c:v>206.86</c:v>
                </c:pt>
                <c:pt idx="1">
                  <c:v>201.85</c:v>
                </c:pt>
                <c:pt idx="2">
                  <c:v>204.07999999999998</c:v>
                </c:pt>
                <c:pt idx="3">
                  <c:v>201.56</c:v>
                </c:pt>
                <c:pt idx="4">
                  <c:v>221.29</c:v>
                </c:pt>
                <c:pt idx="5">
                  <c:v>229.03000000000003</c:v>
                </c:pt>
                <c:pt idx="6">
                  <c:v>234.02000000000004</c:v>
                </c:pt>
                <c:pt idx="7">
                  <c:v>239.51000000000002</c:v>
                </c:pt>
                <c:pt idx="8">
                  <c:v>229.50999999999996</c:v>
                </c:pt>
                <c:pt idx="9">
                  <c:v>246</c:v>
                </c:pt>
                <c:pt idx="10">
                  <c:v>248</c:v>
                </c:pt>
                <c:pt idx="11">
                  <c:v>238.15</c:v>
                </c:pt>
                <c:pt idx="12">
                  <c:v>237.63</c:v>
                </c:pt>
                <c:pt idx="13">
                  <c:v>230.10000000000002</c:v>
                </c:pt>
                <c:pt idx="14">
                  <c:v>234.57</c:v>
                </c:pt>
                <c:pt idx="15">
                  <c:v>246.02000000000004</c:v>
                </c:pt>
                <c:pt idx="16">
                  <c:v>239.73</c:v>
                </c:pt>
                <c:pt idx="17">
                  <c:v>245.82000000000002</c:v>
                </c:pt>
                <c:pt idx="18">
                  <c:v>246.95</c:v>
                </c:pt>
                <c:pt idx="19">
                  <c:v>241.62</c:v>
                </c:pt>
                <c:pt idx="20">
                  <c:v>246.45999999999998</c:v>
                </c:pt>
                <c:pt idx="21">
                  <c:v>240.28</c:v>
                </c:pt>
                <c:pt idx="22">
                  <c:v>232.72000000000003</c:v>
                </c:pt>
                <c:pt idx="23">
                  <c:v>234.23</c:v>
                </c:pt>
                <c:pt idx="24">
                  <c:v>222.69</c:v>
                </c:pt>
                <c:pt idx="25">
                  <c:v>242.18</c:v>
                </c:pt>
              </c:numCache>
            </c:numRef>
          </c:val>
          <c:smooth val="1"/>
          <c:extLst xmlns:c16r2="http://schemas.microsoft.com/office/drawing/2015/06/chart">
            <c:ext xmlns:c16="http://schemas.microsoft.com/office/drawing/2014/chart" uri="{C3380CC4-5D6E-409C-BE32-E72D297353CC}">
              <c16:uniqueId val="{00000001-9BEF-4439-BC12-0493237ECEFA}"/>
            </c:ext>
          </c:extLst>
        </c:ser>
        <c:dLbls>
          <c:showLegendKey val="0"/>
          <c:showVal val="0"/>
          <c:showCatName val="0"/>
          <c:showSerName val="0"/>
          <c:showPercent val="0"/>
          <c:showBubbleSize val="0"/>
        </c:dLbls>
        <c:marker val="1"/>
        <c:smooth val="0"/>
        <c:axId val="322642304"/>
        <c:axId val="322640512"/>
      </c:lineChart>
      <c:dateAx>
        <c:axId val="32282150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22638976"/>
        <c:crosses val="autoZero"/>
        <c:auto val="0"/>
        <c:lblOffset val="0"/>
        <c:baseTimeUnit val="days"/>
      </c:dateAx>
      <c:valAx>
        <c:axId val="322638976"/>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22821504"/>
        <c:crosses val="autoZero"/>
        <c:crossBetween val="between"/>
      </c:valAx>
      <c:valAx>
        <c:axId val="322640512"/>
        <c:scaling>
          <c:orientation val="minMax"/>
        </c:scaling>
        <c:delete val="0"/>
        <c:axPos val="r"/>
        <c:numFmt formatCode="#,##0_);[Red]\(#,##0\)" sourceLinked="0"/>
        <c:majorTickMark val="out"/>
        <c:minorTickMark val="none"/>
        <c:tickLblPos val="nextTo"/>
        <c:spPr>
          <a:ln w="3175">
            <a:solidFill>
              <a:sysClr val="windowText" lastClr="000000"/>
            </a:solidFill>
          </a:ln>
        </c:spPr>
        <c:crossAx val="322642304"/>
        <c:crosses val="max"/>
        <c:crossBetween val="between"/>
      </c:valAx>
      <c:dateAx>
        <c:axId val="322642304"/>
        <c:scaling>
          <c:orientation val="minMax"/>
        </c:scaling>
        <c:delete val="1"/>
        <c:axPos val="b"/>
        <c:numFmt formatCode="yyyy\-mm\-dd;@" sourceLinked="1"/>
        <c:majorTickMark val="out"/>
        <c:minorTickMark val="none"/>
        <c:tickLblPos val="nextTo"/>
        <c:crossAx val="322640512"/>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F97F-47DB-B00D-00EB4DC42D78}"/>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F97F-47DB-B00D-00EB4DC42D78}"/>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extLst xmlns:c16r2="http://schemas.microsoft.com/office/drawing/2015/06/chart">
            <c:ext xmlns:c16="http://schemas.microsoft.com/office/drawing/2014/chart" uri="{C3380CC4-5D6E-409C-BE32-E72D297353CC}">
              <c16:uniqueId val="{00000002-F97F-47DB-B00D-00EB4DC42D78}"/>
            </c:ext>
          </c:extLst>
        </c:ser>
        <c:dLbls>
          <c:showLegendKey val="0"/>
          <c:showVal val="0"/>
          <c:showCatName val="0"/>
          <c:showSerName val="0"/>
          <c:showPercent val="0"/>
          <c:showBubbleSize val="0"/>
        </c:dLbls>
        <c:marker val="1"/>
        <c:smooth val="0"/>
        <c:axId val="322690432"/>
        <c:axId val="322692224"/>
      </c:lineChart>
      <c:dateAx>
        <c:axId val="322690432"/>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22692224"/>
        <c:crosses val="autoZero"/>
        <c:auto val="0"/>
        <c:lblOffset val="0"/>
        <c:baseTimeUnit val="days"/>
        <c:majorUnit val="1"/>
        <c:majorTimeUnit val="months"/>
      </c:dateAx>
      <c:valAx>
        <c:axId val="322692224"/>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22690432"/>
        <c:crosses val="autoZero"/>
        <c:crossBetween val="between"/>
      </c:valAx>
      <c:spPr>
        <a:solidFill>
          <a:schemeClr val="bg1"/>
        </a:solidFill>
        <a:ln>
          <a:noFill/>
        </a:ln>
        <a:effectLst/>
      </c:spPr>
    </c:plotArea>
    <c:legend>
      <c:legendPos val="r"/>
      <c:layout>
        <c:manualLayout>
          <c:xMode val="edge"/>
          <c:yMode val="edge"/>
          <c:x val="0.15225"/>
          <c:y val="2.3337707786526686E-3"/>
          <c:w val="0.84774995601221903"/>
          <c:h val="0"/>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xmlns=""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xmlns=""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xmlns=""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cdr:y>
    </cdr:from>
    <cdr:to>
      <cdr:x>0.15482</cdr:x>
      <cdr:y>0.08334</cdr:y>
    </cdr:to>
    <cdr:sp macro="" textlink="">
      <cdr:nvSpPr>
        <cdr:cNvPr id="5" name="Text Box 1"/>
        <cdr:cNvSpPr txBox="1">
          <a:spLocks xmlns:a="http://schemas.openxmlformats.org/drawingml/2006/main" noChangeArrowheads="1"/>
        </cdr:cNvSpPr>
      </cdr:nvSpPr>
      <cdr:spPr bwMode="auto">
        <a:xfrm xmlns:a="http://schemas.openxmlformats.org/drawingml/2006/main">
          <a:off x="-3847514" y="-998806"/>
          <a:ext cx="464234" cy="16177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870A5-8146-46C9-B81D-50F15E9C88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6</Pages>
  <Words>3626</Words>
  <Characters>1780</Characters>
  <Application>Microsoft Office Word</Application>
  <DocSecurity>0</DocSecurity>
  <Lines>14</Lines>
  <Paragraphs>10</Paragraphs>
  <ScaleCrop>false</ScaleCrop>
  <Company>Microsoft</Company>
  <LinksUpToDate>false</LinksUpToDate>
  <CharactersWithSpaces>5396</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赵艺璇</cp:lastModifiedBy>
  <cp:revision>7</cp:revision>
  <cp:lastPrinted>2019-06-26T06:05:00Z</cp:lastPrinted>
  <dcterms:created xsi:type="dcterms:W3CDTF">2021-02-01T05:02:00Z</dcterms:created>
  <dcterms:modified xsi:type="dcterms:W3CDTF">2021-02-01T09:26:00Z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